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CC" w:rsidRDefault="002A3811">
      <w:pPr>
        <w:spacing w:after="0" w:line="240" w:lineRule="auto"/>
        <w:ind w:right="1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СХВАЛЕНО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>ЗАТВЕРДЖУЮ</w:t>
      </w:r>
    </w:p>
    <w:p w:rsidR="00A70DCC" w:rsidRDefault="002A3811">
      <w:pPr>
        <w:spacing w:after="0" w:line="240" w:lineRule="auto"/>
        <w:ind w:left="10" w:right="13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Директор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Л</w:t>
      </w:r>
      <w:proofErr w:type="spellStart"/>
      <w:r>
        <w:rPr>
          <w:rFonts w:ascii="Times New Roman" w:hAnsi="Times New Roman" w:cs="Times New Roman"/>
          <w:sz w:val="26"/>
          <w:szCs w:val="26"/>
        </w:rPr>
        <w:t>юбов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>ЕНИСЮК</w:t>
      </w:r>
    </w:p>
    <w:p w:rsidR="00A70DCC" w:rsidRDefault="002A3811">
      <w:pPr>
        <w:tabs>
          <w:tab w:val="center" w:pos="4812"/>
        </w:tabs>
        <w:spacing w:after="0" w:line="240" w:lineRule="auto"/>
        <w:ind w:left="10" w:right="13" w:hanging="1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  <w:t>31.08.202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№ 1                   </w:t>
      </w:r>
      <w:r w:rsidR="00630D7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31.08.202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</w:p>
    <w:p w:rsidR="00A70DCC" w:rsidRDefault="00A70DCC">
      <w:pPr>
        <w:spacing w:after="0"/>
        <w:ind w:left="-426" w:firstLine="426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70DCC" w:rsidRDefault="00A70DCC">
      <w:pPr>
        <w:spacing w:after="0"/>
        <w:ind w:left="10" w:right="13" w:hanging="1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A70DCC" w:rsidRDefault="002A3811">
      <w:pPr>
        <w:spacing w:after="0"/>
        <w:ind w:left="10" w:right="13" w:hanging="1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ОСВІТНЯ  ПРОГРАМА</w:t>
      </w:r>
    </w:p>
    <w:p w:rsidR="00A70DCC" w:rsidRDefault="002A3811">
      <w:pPr>
        <w:spacing w:after="0"/>
        <w:ind w:left="-426" w:right="13" w:hanging="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ГІМНАЗІЇ ІМЕНІ РОДИНИ ЛУГОВСЬКИХ</w:t>
      </w:r>
    </w:p>
    <w:p w:rsidR="00A70DCC" w:rsidRDefault="00630D7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7-А, 8</w:t>
      </w:r>
      <w:r w:rsidR="002A3811">
        <w:rPr>
          <w:rFonts w:ascii="Times New Roman" w:eastAsia="Calibri" w:hAnsi="Times New Roman" w:cs="Times New Roman"/>
          <w:b/>
          <w:sz w:val="28"/>
          <w:szCs w:val="28"/>
        </w:rPr>
        <w:t xml:space="preserve">-А класів, який працює </w:t>
      </w:r>
      <w:r w:rsidR="002A3811">
        <w:rPr>
          <w:rFonts w:ascii="Times New Roman" w:eastAsia="Calibri" w:hAnsi="Times New Roman" w:cs="Times New Roman"/>
          <w:b/>
          <w:sz w:val="28"/>
          <w:szCs w:val="28"/>
        </w:rPr>
        <w:t xml:space="preserve">за науково-педагогічним </w:t>
      </w:r>
      <w:proofErr w:type="spellStart"/>
      <w:r w:rsidR="002A3811">
        <w:rPr>
          <w:rFonts w:ascii="Times New Roman" w:eastAsia="Calibri" w:hAnsi="Times New Roman" w:cs="Times New Roman"/>
          <w:b/>
          <w:sz w:val="28"/>
          <w:szCs w:val="28"/>
        </w:rPr>
        <w:t>проєктом</w:t>
      </w:r>
      <w:proofErr w:type="spellEnd"/>
      <w:r w:rsidR="002A3811">
        <w:rPr>
          <w:rFonts w:ascii="Times New Roman" w:eastAsia="Calibri" w:hAnsi="Times New Roman" w:cs="Times New Roman"/>
          <w:b/>
          <w:sz w:val="28"/>
          <w:szCs w:val="28"/>
        </w:rPr>
        <w:t xml:space="preserve"> «Інтелект України»</w:t>
      </w:r>
    </w:p>
    <w:p w:rsidR="00A70DCC" w:rsidRDefault="002A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 розроблена на виконання: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Закону України «Про освіту»,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Закону України «Про загальну середню освіту»,</w:t>
      </w:r>
    </w:p>
    <w:p w:rsidR="00A70DCC" w:rsidRDefault="002A3811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Державного стандарту базової та повної загальної середньої освіти, затвердженого</w:t>
      </w:r>
      <w:r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23.11.2011 №1392 ( у редакції постанови Кабінету Міністрів України від 01.09.2020 р.).</w:t>
      </w:r>
    </w:p>
    <w:p w:rsidR="00A70DCC" w:rsidRDefault="002A3811">
      <w:pPr>
        <w:tabs>
          <w:tab w:val="left" w:pos="3402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Загальний обсяг навчального навантаження</w:t>
      </w:r>
    </w:p>
    <w:p w:rsidR="00A70DCC" w:rsidRDefault="002A3811">
      <w:pPr>
        <w:tabs>
          <w:tab w:val="left" w:pos="3402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орієнтовна тривалість і можливі взаємозв’язки освітніх</w:t>
      </w:r>
    </w:p>
    <w:p w:rsidR="00A70DCC" w:rsidRDefault="002A3811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галузей, предметів, дисципл</w:t>
      </w:r>
      <w:r>
        <w:rPr>
          <w:rFonts w:ascii="Times New Roman" w:hAnsi="Times New Roman" w:cs="Times New Roman"/>
          <w:b/>
          <w:sz w:val="28"/>
          <w:szCs w:val="28"/>
        </w:rPr>
        <w:t>ін</w:t>
      </w:r>
    </w:p>
    <w:p w:rsidR="00A70DCC" w:rsidRDefault="002A3811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 дає цілісне уявлення про зміст і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</w:t>
      </w:r>
    </w:p>
    <w:p w:rsidR="00A70DCC" w:rsidRDefault="00630D70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 для  7-А, 8</w:t>
      </w:r>
      <w:r w:rsidR="002A3811">
        <w:rPr>
          <w:rFonts w:ascii="Times New Roman" w:hAnsi="Times New Roman" w:cs="Times New Roman"/>
          <w:sz w:val="28"/>
          <w:szCs w:val="28"/>
        </w:rPr>
        <w:t>-А класів</w:t>
      </w:r>
      <w:r w:rsidR="002A3811">
        <w:rPr>
          <w:rFonts w:ascii="Times New Roman" w:hAnsi="Times New Roman" w:cs="Times New Roman"/>
          <w:sz w:val="28"/>
          <w:szCs w:val="28"/>
        </w:rPr>
        <w:t xml:space="preserve"> </w:t>
      </w:r>
      <w:r w:rsidR="002A381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A3811">
        <w:rPr>
          <w:rFonts w:ascii="Times New Roman" w:hAnsi="Times New Roman" w:cs="Times New Roman"/>
          <w:sz w:val="28"/>
          <w:szCs w:val="28"/>
        </w:rPr>
        <w:t>додаток</w:t>
      </w:r>
      <w:r w:rsidR="002A3811">
        <w:rPr>
          <w:rFonts w:ascii="Times New Roman" w:hAnsi="Times New Roman" w:cs="Times New Roman"/>
          <w:sz w:val="28"/>
          <w:szCs w:val="28"/>
          <w:lang w:val="ru-RU"/>
        </w:rPr>
        <w:t xml:space="preserve"> 1) </w:t>
      </w:r>
      <w:r w:rsidR="002A3811">
        <w:rPr>
          <w:rFonts w:ascii="Times New Roman" w:hAnsi="Times New Roman" w:cs="Times New Roman"/>
          <w:sz w:val="28"/>
          <w:szCs w:val="28"/>
        </w:rPr>
        <w:t>складений до Типового навчального плану, наказ МОН України від 03.02.2021 року № 14</w:t>
      </w:r>
      <w:r w:rsidR="002A3811">
        <w:rPr>
          <w:rFonts w:ascii="Times New Roman" w:hAnsi="Times New Roman" w:cs="Times New Roman"/>
          <w:sz w:val="28"/>
          <w:szCs w:val="28"/>
          <w:lang w:val="ru-RU"/>
        </w:rPr>
        <w:t>0 (</w:t>
      </w:r>
      <w:proofErr w:type="spellStart"/>
      <w:r w:rsidR="002A3811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2A3811">
        <w:rPr>
          <w:rFonts w:ascii="Times New Roman" w:hAnsi="Times New Roman" w:cs="Times New Roman"/>
          <w:sz w:val="28"/>
          <w:szCs w:val="28"/>
          <w:lang w:val="ru-RU"/>
        </w:rPr>
        <w:t xml:space="preserve"> 3).</w:t>
      </w:r>
    </w:p>
    <w:p w:rsidR="00A70DCC" w:rsidRDefault="002A3811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Гранична наповнюваність класу та тривалість уроків встановлюються відповідно до Закону України «Про загальну середню освіту».</w:t>
      </w:r>
    </w:p>
    <w:p w:rsidR="00A70DCC" w:rsidRDefault="002A3811" w:rsidP="00630D70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Поділ класів на гру</w:t>
      </w:r>
      <w:r>
        <w:rPr>
          <w:rFonts w:ascii="Times New Roman" w:hAnsi="Times New Roman" w:cs="Times New Roman"/>
          <w:sz w:val="28"/>
          <w:szCs w:val="28"/>
        </w:rPr>
        <w:t xml:space="preserve">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компенсуючого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типу, класів спеціальни</w:t>
      </w:r>
      <w:r>
        <w:rPr>
          <w:rFonts w:ascii="Times New Roman" w:hAnsi="Times New Roman" w:cs="Times New Roman"/>
          <w:sz w:val="28"/>
          <w:szCs w:val="28"/>
        </w:rPr>
        <w:t>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</w:t>
      </w:r>
      <w:r>
        <w:rPr>
          <w:rFonts w:ascii="Times New Roman" w:hAnsi="Times New Roman" w:cs="Times New Roman"/>
          <w:sz w:val="28"/>
          <w:szCs w:val="28"/>
        </w:rPr>
        <w:t>стерстві юстиції України від 6 березня 2002 року за № 229/6517 (зі змінами).</w:t>
      </w:r>
    </w:p>
    <w:p w:rsidR="00A70DCC" w:rsidRDefault="00630D70" w:rsidP="00630D70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811">
        <w:rPr>
          <w:rFonts w:ascii="Times New Roman" w:hAnsi="Times New Roman" w:cs="Times New Roman"/>
          <w:sz w:val="28"/>
          <w:szCs w:val="28"/>
        </w:rPr>
        <w:t>Навчальний план зорієнтований на роботу основної школи за 5-денним навчальним тижнем.</w:t>
      </w:r>
    </w:p>
    <w:p w:rsidR="00630D70" w:rsidRPr="00FC2BCC" w:rsidRDefault="002A3811" w:rsidP="00630D70">
      <w:pPr>
        <w:spacing w:after="0"/>
        <w:ind w:left="-426"/>
        <w:jc w:val="both"/>
        <w:rPr>
          <w:rFonts w:ascii="Times New Roman" w:hAnsi="Times New Roman" w:cs="Times New Roman"/>
          <w:b/>
          <w:color w:val="FF0000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0D7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0DCC" w:rsidRDefault="00630D70" w:rsidP="00630D70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lang w:val="ru-RU"/>
        </w:rPr>
        <w:t xml:space="preserve">                  </w:t>
      </w:r>
      <w:r w:rsidR="002A3811">
        <w:rPr>
          <w:rFonts w:ascii="Times New Roman" w:hAnsi="Times New Roman" w:cs="Times New Roman"/>
          <w:b/>
          <w:sz w:val="28"/>
          <w:szCs w:val="28"/>
        </w:rPr>
        <w:t>Очікувані результати навчання здобувачів освіти</w:t>
      </w:r>
    </w:p>
    <w:p w:rsidR="00A70DCC" w:rsidRDefault="002A3811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 навчан</w:t>
      </w:r>
      <w:r>
        <w:rPr>
          <w:rFonts w:ascii="Times New Roman" w:hAnsi="Times New Roman" w:cs="Times New Roman"/>
          <w:sz w:val="28"/>
          <w:szCs w:val="28"/>
        </w:rPr>
        <w:t xml:space="preserve">ня учнів подані в рамках навчальних програм, перелік яких наведено в додатку 2 до освітньої програми. Пропонований зміст навчальних програм, які мають гриф «Затверджено Міністерством освіти і науки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України», розміщені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 України та</w:t>
      </w:r>
      <w:r>
        <w:rPr>
          <w:rFonts w:ascii="Times New Roman" w:hAnsi="Times New Roman" w:cs="Times New Roman"/>
          <w:sz w:val="28"/>
          <w:szCs w:val="28"/>
        </w:rPr>
        <w:t xml:space="preserve"> проекту «Інтелект України».</w:t>
      </w:r>
    </w:p>
    <w:p w:rsidR="00A70DCC" w:rsidRDefault="002A3811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Рекомендовані форми організації освітнього процесу</w:t>
      </w:r>
    </w:p>
    <w:p w:rsidR="00A70DCC" w:rsidRDefault="00630D70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3811">
        <w:rPr>
          <w:rFonts w:ascii="Times New Roman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уроку, екскурсії, віртуальні подорожі, спектаклі, </w:t>
      </w:r>
      <w:proofErr w:type="spellStart"/>
      <w:r w:rsidR="002A3811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="002A3811">
        <w:rPr>
          <w:rFonts w:ascii="Times New Roman" w:hAnsi="Times New Roman" w:cs="Times New Roman"/>
          <w:sz w:val="28"/>
          <w:szCs w:val="28"/>
        </w:rPr>
        <w:t>, які вчитель організує у межах уроку або в п</w:t>
      </w:r>
      <w:r w:rsidR="002A3811">
        <w:rPr>
          <w:rFonts w:ascii="Times New Roman" w:hAnsi="Times New Roman" w:cs="Times New Roman"/>
          <w:sz w:val="28"/>
          <w:szCs w:val="28"/>
        </w:rPr>
        <w:t>озаурочний час.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 Вибір форм і методів навчання вчите</w:t>
      </w:r>
      <w:r w:rsidR="002A3811">
        <w:rPr>
          <w:rFonts w:ascii="Times New Roman" w:hAnsi="Times New Roman" w:cs="Times New Roman"/>
          <w:sz w:val="28"/>
          <w:szCs w:val="28"/>
        </w:rPr>
        <w:t>ль визначає самостійно,враховуючи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630D70" w:rsidRPr="00630D70" w:rsidRDefault="00630D70" w:rsidP="00630D70">
      <w:pPr>
        <w:spacing w:after="0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C629E0">
        <w:rPr>
          <w:rFonts w:ascii="Times New Roman" w:hAnsi="Times New Roman"/>
          <w:sz w:val="28"/>
          <w:szCs w:val="28"/>
          <w:shd w:val="clear" w:color="auto" w:fill="FFFFFF"/>
        </w:rPr>
        <w:t xml:space="preserve">У зв’язку із введенням в Україні воєнного стану з 24 лютого 2022 року, </w:t>
      </w:r>
      <w:r w:rsidRPr="00C629E0">
        <w:rPr>
          <w:rFonts w:ascii="Times New Roman" w:hAnsi="Times New Roman"/>
          <w:sz w:val="28"/>
          <w:szCs w:val="28"/>
        </w:rPr>
        <w:t>відповідно до Положення про дистанційне навчання для</w:t>
      </w:r>
      <w:r w:rsidRPr="00C629E0">
        <w:rPr>
          <w:rFonts w:ascii="Times New Roman" w:hAnsi="Times New Roman"/>
          <w:sz w:val="28"/>
          <w:szCs w:val="28"/>
          <w:shd w:val="clear" w:color="auto" w:fill="FFFFFF"/>
        </w:rPr>
        <w:t xml:space="preserve"> забезпечення якісного виконання освітньої програми у 2023/20224 навчальному році в гімназії при потребі </w:t>
      </w:r>
      <w:r w:rsidRPr="00C629E0">
        <w:rPr>
          <w:rFonts w:ascii="Times New Roman" w:hAnsi="Times New Roman"/>
          <w:sz w:val="28"/>
          <w:szCs w:val="28"/>
        </w:rPr>
        <w:t>освітній  процес  здійснюватиметься    з  використанням  технологій  дистанційного  навчання, сучасної</w:t>
      </w:r>
      <w:r w:rsidRPr="00C629E0">
        <w:rPr>
          <w:rFonts w:ascii="Times New Roman" w:hAnsi="Times New Roman"/>
          <w:sz w:val="28"/>
          <w:szCs w:val="28"/>
          <w:shd w:val="clear" w:color="auto" w:fill="FFFFFF"/>
        </w:rPr>
        <w:t xml:space="preserve"> освітньої  платформи HUMAN </w:t>
      </w:r>
      <w:r w:rsidRPr="00C629E0">
        <w:rPr>
          <w:rFonts w:ascii="Times New Roman" w:hAnsi="Times New Roman"/>
          <w:sz w:val="28"/>
          <w:szCs w:val="28"/>
        </w:rPr>
        <w:t xml:space="preserve">у двох режимах: синхронному (всі учасники освітнього процесу одночасно перебувають у </w:t>
      </w:r>
      <w:proofErr w:type="spellStart"/>
      <w:r w:rsidRPr="00C629E0">
        <w:rPr>
          <w:rFonts w:ascii="Times New Roman" w:hAnsi="Times New Roman"/>
          <w:sz w:val="28"/>
          <w:szCs w:val="28"/>
        </w:rPr>
        <w:t>веб-середовищі</w:t>
      </w:r>
      <w:proofErr w:type="spellEnd"/>
      <w:r w:rsidRPr="00C629E0">
        <w:rPr>
          <w:rFonts w:ascii="Times New Roman" w:hAnsi="Times New Roman"/>
          <w:sz w:val="28"/>
          <w:szCs w:val="28"/>
        </w:rPr>
        <w:t xml:space="preserve">) та асинхронному (освітній процес здійснюється за зручним для вчителів та учнів графіком). </w:t>
      </w:r>
      <w:r w:rsidRPr="00C629E0">
        <w:rPr>
          <w:rFonts w:ascii="Times New Roman" w:eastAsia="Times New Roman" w:hAnsi="Times New Roman"/>
          <w:sz w:val="28"/>
          <w:szCs w:val="28"/>
          <w:lang w:eastAsia="uk-UA"/>
        </w:rPr>
        <w:t xml:space="preserve">Не менше 30% навчального часу буде організовано у синхронному режимі. </w:t>
      </w:r>
      <w:r w:rsidRPr="00C629E0">
        <w:rPr>
          <w:rFonts w:ascii="Times New Roman" w:eastAsia="Times New Roman" w:hAnsi="Times New Roman"/>
          <w:sz w:val="28"/>
          <w:szCs w:val="28"/>
          <w:lang w:eastAsia="ru-RU"/>
        </w:rPr>
        <w:t>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навчання, зокрема дітей із сімей, які перебувають у складних життєвих обставинах, багатодітних, малозабезпечених сімей тощо), заклад освіти забезпечує використання інших засобів комунікації, доступних для учнів (телефонний, поштовий зв'язок тощо)</w:t>
      </w:r>
      <w:r w:rsidRPr="00C629E0">
        <w:rPr>
          <w:rFonts w:ascii="Times New Roman" w:hAnsi="Times New Roman"/>
          <w:sz w:val="28"/>
          <w:szCs w:val="28"/>
        </w:rPr>
        <w:t xml:space="preserve">  відповідно до </w:t>
      </w:r>
      <w:hyperlink r:id="rId8" w:history="1">
        <w:r w:rsidRPr="00C629E0">
          <w:rPr>
            <w:rStyle w:val="a5"/>
            <w:rFonts w:ascii="Times New Roman" w:hAnsi="Times New Roman"/>
            <w:sz w:val="28"/>
            <w:szCs w:val="28"/>
            <w:lang w:eastAsia="uk-UA"/>
          </w:rPr>
          <w:t>листа МОН від 02.11.2020 № 1/9-609 «Щодо організації дистанційного навчання</w:t>
        </w:r>
      </w:hyperlink>
      <w:r w:rsidRPr="00C629E0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630D70" w:rsidRDefault="00630D70" w:rsidP="00630D70">
      <w:pPr>
        <w:shd w:val="clear" w:color="auto" w:fill="FFFFFF"/>
        <w:tabs>
          <w:tab w:val="left" w:pos="284"/>
          <w:tab w:val="left" w:pos="1134"/>
        </w:tabs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D35DEA">
        <w:rPr>
          <w:rFonts w:ascii="Times New Roman" w:hAnsi="Times New Roman"/>
          <w:sz w:val="28"/>
          <w:szCs w:val="28"/>
        </w:rPr>
        <w:t>Керуючись Положенням про індивідуальну форму здобуття загальної середньої освіти, затвердженим наказом Міністерства освіти і науки України від 12 січня 2016  № 8 ( у редакції наказу Міністерства  освіти і науки України від 10 лютого 2021 року №160), зареєстрованого в Міністерстві юстиції України 19 квітня 2021р. за № 528/36150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9E0">
        <w:rPr>
          <w:rFonts w:ascii="Times New Roman" w:hAnsi="Times New Roman"/>
          <w:sz w:val="28"/>
          <w:szCs w:val="28"/>
        </w:rPr>
        <w:t>організовано</w:t>
      </w:r>
      <w:r>
        <w:rPr>
          <w:rFonts w:ascii="Times New Roman" w:hAnsi="Times New Roman"/>
          <w:sz w:val="28"/>
          <w:szCs w:val="28"/>
        </w:rPr>
        <w:t>:</w:t>
      </w:r>
    </w:p>
    <w:p w:rsidR="00630D70" w:rsidRPr="00630D70" w:rsidRDefault="00630D70" w:rsidP="00630D70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630D70">
        <w:rPr>
          <w:rFonts w:ascii="Times New Roman" w:hAnsi="Times New Roman"/>
          <w:sz w:val="28"/>
          <w:szCs w:val="28"/>
        </w:rPr>
        <w:t>індивідуальну форму навчання (педагогічний патронаж) для 1 учня 8-А класу</w:t>
      </w:r>
      <w:r>
        <w:rPr>
          <w:rFonts w:ascii="Times New Roman" w:hAnsi="Times New Roman"/>
          <w:sz w:val="28"/>
          <w:szCs w:val="28"/>
        </w:rPr>
        <w:t>;</w:t>
      </w:r>
    </w:p>
    <w:p w:rsidR="00630D70" w:rsidRPr="00630D70" w:rsidRDefault="00630D70" w:rsidP="00630D70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630D70">
        <w:rPr>
          <w:rFonts w:ascii="Times New Roman" w:hAnsi="Times New Roman"/>
          <w:sz w:val="28"/>
          <w:szCs w:val="28"/>
        </w:rPr>
        <w:t>індивідуальну форму навчання (екстернат) для 2 учнів  7-А класу та  для 1 учня 8-А класу.</w:t>
      </w:r>
    </w:p>
    <w:p w:rsidR="00630D70" w:rsidRPr="00FC2BCC" w:rsidRDefault="00630D70" w:rsidP="00630D70">
      <w:pPr>
        <w:tabs>
          <w:tab w:val="left" w:pos="6804"/>
        </w:tabs>
        <w:spacing w:after="0"/>
        <w:rPr>
          <w:rFonts w:ascii="Times New Roman" w:hAnsi="Times New Roman" w:cs="Times New Roman"/>
          <w:b/>
          <w:color w:val="FF0000"/>
          <w:lang w:val="ru-RU"/>
        </w:rPr>
      </w:pPr>
    </w:p>
    <w:p w:rsidR="00630D70" w:rsidRPr="00630D70" w:rsidRDefault="00630D70">
      <w:pPr>
        <w:ind w:left="-426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A70DCC" w:rsidRDefault="002A3811">
      <w:pPr>
        <w:ind w:left="-426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Зміст програми має потенціал для формування у здобувачів таких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ключовихкомпетентностей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065" w:type="dxa"/>
        <w:tblInd w:w="-318" w:type="dxa"/>
        <w:tblLook w:val="04A0"/>
      </w:tblPr>
      <w:tblGrid>
        <w:gridCol w:w="568"/>
        <w:gridCol w:w="3183"/>
        <w:gridCol w:w="6314"/>
      </w:tblGrid>
      <w:tr w:rsidR="00A70DCC">
        <w:tc>
          <w:tcPr>
            <w:tcW w:w="534" w:type="dxa"/>
          </w:tcPr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341" w:type="dxa"/>
          </w:tcPr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Компоненти</w:t>
            </w: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Спілкування державною  мовою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уникнення невнормованих іншомовних запозичень у спілкуванні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тематику окремого предмета; поповнювати свій словниковий запас.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розуміння важливості чітких та лаконічних формулювань.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Спілкування іноземними мовами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ідомленого оволодіння іноземною мовою;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підручники, словники,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довідкова література, мультимедійні засоби, адаптовані іншомовні тексти</w:t>
            </w:r>
          </w:p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 компетентність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значення математики для повноці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нного життя в сучасному суспільстві, розвитку технологічного, економічного й оборонного потенціалу держави, успішного вивчення інших предметів.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компетентності у природничих науках і технологіях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розпізнавати проблеми, що виникають у довкіллі; будувати та досліджувати природні явища і процеси; послуговуватися технологічними пристроями.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важливості природн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ичих наук як універсальної мови науки, техніки та технологій. усвідомлення ролі наукових ідей в сучасних інформаційних технологіях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складання графіків та діаграм, які ілюструють функціональні залежності результатів впливу людської діяльн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ості на природу</w:t>
            </w: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цифрова компетентність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знаковісистеми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знаходити інформацію та оцінювати її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остовірність; доводити істинність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тверджень.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візуалізація даних, побудо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графіків та діаграм за допомогою програмних засобів</w:t>
            </w:r>
          </w:p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Уміння вчитися впродовж життя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власних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моделювання власної освітньої траєкторії</w:t>
            </w: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Ініціативність і підприємливість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ініціативність, відповідальність, упевненість у собі; переконаність, що успіх команди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 й особистий успіх; позитивне оцінювання та підтримка конструктивних ідей інших.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завдання підприємницького змісту (оптимізаційні задачі)</w:t>
            </w: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і громадянська компетентності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висловлювати власну думку, слухати і чути інш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власну роль в командній роботі; аналізувати влас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ощадливість і поміркованість; рівне ставлення до інших незалежно від статків,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соціального походження; відповідальність за спільну справу;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налаштованість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логічне обґрунтування позиції без передчасного переходу до висновків; повага до прав людини, активна позиція щодо боротьби із дискримінацією.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завдання соціаль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змісту</w:t>
            </w:r>
          </w:p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Обізнаність і самовираження у сфері культури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враховувати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художньо-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естетичну складову при створенні продуктів своєї діяльності (малюнків, текстів, схем тощо).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самоідентифікація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повага до культурного розмаїття у глобальному суспільстві; усвідомлення впливу окремого предмета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людську культуру та розвиток суспільства. </w:t>
            </w:r>
          </w:p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математичні моделі в різних видах мистецтва</w:t>
            </w:r>
          </w:p>
        </w:tc>
      </w:tr>
      <w:tr w:rsidR="00A70DCC">
        <w:tc>
          <w:tcPr>
            <w:tcW w:w="534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90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Екологічна грамотність і здорове життя</w:t>
            </w:r>
          </w:p>
        </w:tc>
        <w:tc>
          <w:tcPr>
            <w:tcW w:w="6341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Уміння: аналізувати і критично оцінювати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економічні події в державі на основі різних даних;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 Ставлення: усвідомлення взаємозв’язку кожного окремого предмета та екології на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 різних даних; ощадне та бережливе відношення до природних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тощо. Навчальні ресурси: навчальні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A70DCC" w:rsidRDefault="00A70DCC">
      <w:pPr>
        <w:rPr>
          <w:rFonts w:ascii="Times New Roman" w:hAnsi="Times New Roman" w:cs="Times New Roman"/>
          <w:sz w:val="28"/>
          <w:szCs w:val="28"/>
        </w:rPr>
      </w:pPr>
    </w:p>
    <w:p w:rsidR="00A70DCC" w:rsidRDefault="002A38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A70DCC" w:rsidRDefault="002A38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організацію навчального се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редовища — зміст та цілі наскрізних тем враховуються при формуванні духовного, соціального і фізичного середовища навчання;</w:t>
      </w:r>
    </w:p>
    <w:p w:rsidR="00A70DCC" w:rsidRDefault="002A38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окремі предмети — виходячи із наскрізних тем при вивченні предмета проводяться відповідні трактовки, приклади і методи навчання,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реалізуються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надпредметні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міжкласові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тною наскрізною темою;</w:t>
      </w:r>
    </w:p>
    <w:p w:rsidR="00A70DCC" w:rsidRDefault="002A38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роботу в проектах; </w:t>
      </w:r>
    </w:p>
    <w:p w:rsidR="00A70DCC" w:rsidRDefault="002A38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позакласну навчальну роботу і роботу гуртків.</w:t>
      </w:r>
    </w:p>
    <w:p w:rsidR="00A70DCC" w:rsidRDefault="00A70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8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8194"/>
      </w:tblGrid>
      <w:tr w:rsidR="00A70DCC">
        <w:trPr>
          <w:trHeight w:val="20"/>
        </w:trPr>
        <w:tc>
          <w:tcPr>
            <w:tcW w:w="1668" w:type="dxa"/>
          </w:tcPr>
          <w:p w:rsidR="00A70DCC" w:rsidRDefault="002A38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Наскрізна лінія</w:t>
            </w:r>
          </w:p>
        </w:tc>
        <w:tc>
          <w:tcPr>
            <w:tcW w:w="8194" w:type="dxa"/>
          </w:tcPr>
          <w:p w:rsidR="00A70DCC" w:rsidRDefault="002A38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Коротка характеристика</w:t>
            </w:r>
          </w:p>
        </w:tc>
      </w:tr>
      <w:tr w:rsidR="00A70DCC">
        <w:trPr>
          <w:cantSplit/>
          <w:trHeight w:val="20"/>
        </w:trPr>
        <w:tc>
          <w:tcPr>
            <w:tcW w:w="1668" w:type="dxa"/>
            <w:textDirection w:val="btLr"/>
          </w:tcPr>
          <w:p w:rsidR="00A70DCC" w:rsidRDefault="002A38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безпека й сталий розвиток</w:t>
            </w:r>
          </w:p>
        </w:tc>
        <w:tc>
          <w:tcPr>
            <w:tcW w:w="8194" w:type="dxa"/>
          </w:tcPr>
          <w:p w:rsidR="00A70DCC" w:rsidRDefault="002A381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Формування в учнів соціальної активності, відповідальності та екологічної свідомості,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</w:p>
          <w:p w:rsidR="00A70DCC" w:rsidRDefault="002A381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Проблематика наскрізної лінії реалізується через завдання з реальними даними про використання природних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ресурсів, їх збереження та примноження. Аналіз цих даних сприяє розвитку бережливого ставлення до навколишнього середовища, екології, формуванню критичного мислення, вміння вирішувати проблеми, критично оцінювати перспективи розвитку навколишнього середови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ща і людини. Можливі уроки на відкритому повітрі. </w:t>
            </w:r>
          </w:p>
        </w:tc>
      </w:tr>
      <w:tr w:rsidR="00A70DCC">
        <w:trPr>
          <w:cantSplit/>
          <w:trHeight w:val="20"/>
        </w:trPr>
        <w:tc>
          <w:tcPr>
            <w:tcW w:w="1668" w:type="dxa"/>
            <w:textDirection w:val="btLr"/>
          </w:tcPr>
          <w:p w:rsidR="00A70DCC" w:rsidRDefault="002A38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Громадянська відповідальність</w:t>
            </w:r>
          </w:p>
        </w:tc>
        <w:tc>
          <w:tcPr>
            <w:tcW w:w="8194" w:type="dxa"/>
          </w:tcPr>
          <w:p w:rsidR="00A70DCC" w:rsidRDefault="002A381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Сприятиме формуванню відповідального члена громади і суспільства, що розуміє принципи і механізми функціонування суспільства. Ця наскрізна лінія освоюється в основному через колективну діяльність (дослідницькі роботи, роботи в групі, проекти тощо), яка поє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днує окремі предмети між собою і розвиває в учнів готовність до співпраці, толерантність щодо різноманітних способів діяльності і думок. </w:t>
            </w:r>
          </w:p>
          <w:p w:rsidR="00A70DCC" w:rsidRDefault="002A381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Вивчення окремого предмета має викликати в учнів якомога більше позитивних емоцій, а її зміст — бути націленим на вихо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вання порядності, старанності, систематичності, послідовності, посидючості і чесності. Приклад вчителя покликаний зіграти важливу роль у формуванні толерантного ставлення до товаришів, незалежно від рівня навчальних досягнень.</w:t>
            </w:r>
          </w:p>
        </w:tc>
      </w:tr>
      <w:tr w:rsidR="00A70DCC">
        <w:trPr>
          <w:cantSplit/>
          <w:trHeight w:val="20"/>
        </w:trPr>
        <w:tc>
          <w:tcPr>
            <w:tcW w:w="1668" w:type="dxa"/>
            <w:textDirection w:val="btLr"/>
          </w:tcPr>
          <w:p w:rsidR="00A70DCC" w:rsidRDefault="002A38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Здоров'я і безпека</w:t>
            </w:r>
          </w:p>
        </w:tc>
        <w:tc>
          <w:tcPr>
            <w:tcW w:w="8194" w:type="dxa"/>
          </w:tcPr>
          <w:p w:rsidR="00A70DCC" w:rsidRDefault="002A381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Завданням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наскрізної лінії є становлення учня як емоційно стійкого члена суспільства, здатного вести здоровий спосіб життя і формувати навколо себе безпечне життєве середовище. </w:t>
            </w:r>
          </w:p>
          <w:p w:rsidR="00A70DCC" w:rsidRDefault="002A381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Реалізується через завдання з реальними даними про безпеку і охорону здоров’я (текстові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завдання, пов’язані з середовищем дорожнього руху, рухом пішоходів і транспортних засобів). Варто звернути увагу на проблеми, пов’язані із ризиками для життя і здоров’я. Вирішення проблем, знайдених з «ага-ефектом», пошук оптимальних методів вирішення і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озв’язування задач тощо, здатні викликати в учнів чимало радісних емоцій.</w:t>
            </w:r>
          </w:p>
        </w:tc>
      </w:tr>
      <w:tr w:rsidR="00A70DCC">
        <w:trPr>
          <w:cantSplit/>
          <w:trHeight w:val="20"/>
        </w:trPr>
        <w:tc>
          <w:tcPr>
            <w:tcW w:w="1668" w:type="dxa"/>
            <w:textDirection w:val="btLr"/>
          </w:tcPr>
          <w:p w:rsidR="00A70DCC" w:rsidRDefault="002A38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Підприємливість і фінансова грамотність</w:t>
            </w:r>
          </w:p>
        </w:tc>
        <w:tc>
          <w:tcPr>
            <w:tcW w:w="8194" w:type="dxa"/>
          </w:tcPr>
          <w:p w:rsidR="00A70DCC" w:rsidRDefault="002A381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Наскрізна лінія націлена на розвиток лідерських ініціатив, здатність успішно діяти в технологічному швидкозмінному середовищі, забезпечення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ращого розуміння учнями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A70DCC" w:rsidRDefault="002A3811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Ця наскрізна лінія пов'язана з розв'язуванням практичних завдань щодо планування господарської діяльності та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еальної оцінки власних можливостей, складання сімейного бюджету, формування економного ставлення до природних ресурсів. </w:t>
            </w:r>
          </w:p>
        </w:tc>
      </w:tr>
    </w:tbl>
    <w:p w:rsidR="00A70DCC" w:rsidRDefault="00A70DCC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A70DCC" w:rsidRDefault="00A70DCC">
      <w:pPr>
        <w:rPr>
          <w:rFonts w:ascii="Times New Roman" w:hAnsi="Times New Roman" w:cs="Times New Roman"/>
          <w:sz w:val="28"/>
          <w:szCs w:val="28"/>
        </w:rPr>
      </w:pPr>
    </w:p>
    <w:p w:rsidR="00A70DCC" w:rsidRDefault="002A3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Порядок вивчення окремих предметів</w:t>
      </w:r>
    </w:p>
    <w:p w:rsidR="00A70DCC" w:rsidRDefault="002A381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Освітня галузь «Мови і літератури»   через окремі предмети «Українська мова», «Українська література», «Англійська мова», «Зарубіжна література».</w:t>
      </w:r>
    </w:p>
    <w:p w:rsidR="00A70DCC" w:rsidRDefault="002A381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Освітня галузь «Математика»  реалізується через однойменний окремий предмет «Математика». </w:t>
      </w:r>
    </w:p>
    <w:p w:rsidR="00A70DCC" w:rsidRDefault="002A381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Навчальний предмет «Природознавство»  розподілено на два окремі предмети: «Природознавство. Моя планета Земля», який є пропедевтичним для вивчення системних курсів біології і географії у 6-9 класах, та «Природознавство. Твої фізичні відкриття», який є</w:t>
      </w:r>
      <w:r>
        <w:rPr>
          <w:rFonts w:ascii="Times New Roman" w:hAnsi="Times New Roman" w:cs="Times New Roman"/>
          <w:sz w:val="28"/>
          <w:szCs w:val="28"/>
        </w:rPr>
        <w:t xml:space="preserve"> пропедевтичним для курсів фізики, хімії і астрономії. </w:t>
      </w:r>
    </w:p>
    <w:p w:rsidR="00A70DCC" w:rsidRDefault="002A381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Освітня галузь «Мистецтво» вивчається інтегрованим курсом «Мистецтво».</w:t>
      </w:r>
    </w:p>
    <w:p w:rsidR="00A70DCC" w:rsidRDefault="00A70DCC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DCC" w:rsidRDefault="002A381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 та інструменти системи внутрішнього</w:t>
      </w:r>
    </w:p>
    <w:p w:rsidR="00A70DCC" w:rsidRDefault="002A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забезпечення якості освіти</w:t>
      </w:r>
    </w:p>
    <w:p w:rsidR="00A70DCC" w:rsidRDefault="002A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внутрішнього забезпечення якості передбачає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0DCC" w:rsidRDefault="002A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кадрове забезпечення освітньої діяльності;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володіння вчителями вимогами навчальних програм, критеріями, правилами і процедурами оцінювання учнів з навчальних предметів;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організація роботи методичних комісій вчителів з впровадження державних стандар</w:t>
      </w:r>
      <w:r>
        <w:rPr>
          <w:rFonts w:ascii="Times New Roman" w:hAnsi="Times New Roman" w:cs="Times New Roman"/>
          <w:sz w:val="28"/>
          <w:szCs w:val="28"/>
        </w:rPr>
        <w:t>тів та підвищення результативності освітнього процесу;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навчально-методичне забезпечення освітньої діяльності;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матеріально-технічне забезпечення освітньої діяльності;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здійснення вчителями належного контролю за дотриманням академічної доброчесності учн</w:t>
      </w:r>
      <w:r>
        <w:rPr>
          <w:rFonts w:ascii="Times New Roman" w:hAnsi="Times New Roman" w:cs="Times New Roman"/>
          <w:sz w:val="28"/>
          <w:szCs w:val="28"/>
        </w:rPr>
        <w:t>ями;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ознайомлення батьків та учнів з критеріями, правилами та процедурами оцінювання учнів, системою та механізмами забезпечення академічної доброчесності;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здійснення вчителями об’єктивного оцінювання результатів навчання учнів;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здійснення дирекцією </w:t>
      </w:r>
      <w:r>
        <w:rPr>
          <w:rFonts w:ascii="Times New Roman" w:hAnsi="Times New Roman" w:cs="Times New Roman"/>
          <w:sz w:val="28"/>
          <w:szCs w:val="28"/>
        </w:rPr>
        <w:t>школи контролю за дотриманням академічної доброчесності вчителями;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якість проведення навчальних занять;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моніторинг досягнення учнями результатів навчання(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70DCC" w:rsidRDefault="00A70DC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0DCC" w:rsidRDefault="002A3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Завдання системи внутрішнього забезпечення якості освіти: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оновлення </w:t>
      </w:r>
      <w:r>
        <w:rPr>
          <w:rFonts w:ascii="Times New Roman" w:hAnsi="Times New Roman" w:cs="Times New Roman"/>
          <w:sz w:val="28"/>
          <w:szCs w:val="28"/>
        </w:rPr>
        <w:t>методичної бази освітньої діяльності;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семестровий та річний аналіз результатів навчальних досягнень учнів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класний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попредметний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проведення контрольних робіт та контрольних зрізів (за погодженням з вчителем обсягу матеріалу, засвоєння якого контролюватиметься, та видів (типів) завдань);</w:t>
      </w:r>
    </w:p>
    <w:p w:rsidR="00A70DCC" w:rsidRDefault="002A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вивчення методичною комісією та дирекцією школи стану викладання на</w:t>
      </w:r>
      <w:r>
        <w:rPr>
          <w:rFonts w:ascii="Times New Roman" w:hAnsi="Times New Roman" w:cs="Times New Roman"/>
          <w:sz w:val="28"/>
          <w:szCs w:val="28"/>
        </w:rPr>
        <w:t>вчальних предметів інваріантної складової навчального плану не рідше одного разу на п’ять років;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моніторинг та оптимізація соціально-психологічного середовища закладу освіти;</w:t>
      </w:r>
    </w:p>
    <w:p w:rsidR="00A70DCC" w:rsidRDefault="002A381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створення необхідних умов для підвищення фахового кваліфікаційного рівня педа</w:t>
      </w:r>
      <w:r>
        <w:rPr>
          <w:rFonts w:ascii="Times New Roman" w:hAnsi="Times New Roman" w:cs="Times New Roman"/>
          <w:sz w:val="28"/>
          <w:szCs w:val="28"/>
        </w:rPr>
        <w:t xml:space="preserve">гогічних працівників (за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різнимивидами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у різних формах);</w:t>
      </w:r>
    </w:p>
    <w:p w:rsidR="00A70DCC" w:rsidRDefault="002A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чергова та позачергова атестація педагогічних працівників з метою підвищення кваліфікаційної категорії, присвоєння педагогічного звання та у разі зниження педагогічним працівником рівня професій</w:t>
      </w:r>
      <w:r>
        <w:rPr>
          <w:rFonts w:ascii="Times New Roman" w:hAnsi="Times New Roman" w:cs="Times New Roman"/>
          <w:sz w:val="28"/>
          <w:szCs w:val="28"/>
        </w:rPr>
        <w:t>ної діяльності.</w:t>
      </w:r>
    </w:p>
    <w:p w:rsidR="00A70DCC" w:rsidRDefault="00A70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DCC" w:rsidRDefault="00A70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DCC" w:rsidRDefault="00A70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811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DCC" w:rsidRPr="00630D70" w:rsidRDefault="002A381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630D70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A70DCC" w:rsidRDefault="002A3811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освітньої програми</w:t>
      </w:r>
    </w:p>
    <w:p w:rsidR="00A70DCC" w:rsidRDefault="00A70DCC">
      <w:pPr>
        <w:spacing w:after="0"/>
        <w:ind w:left="-851"/>
        <w:rPr>
          <w:b/>
          <w:sz w:val="24"/>
          <w:szCs w:val="24"/>
        </w:rPr>
      </w:pPr>
    </w:p>
    <w:p w:rsidR="00A70DCC" w:rsidRDefault="002A3811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Навчальний план</w:t>
      </w:r>
    </w:p>
    <w:p w:rsidR="00A70DCC" w:rsidRDefault="002A381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учнів 7-А, 8-А класів (науково-педагогічний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проє</w:t>
      </w:r>
      <w:r>
        <w:rPr>
          <w:rFonts w:ascii="Times New Roman" w:hAnsi="Times New Roman" w:cs="Times New Roman"/>
          <w:b/>
          <w:sz w:val="24"/>
          <w:szCs w:val="24"/>
        </w:rPr>
        <w:t>кт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«Інтелект України»)</w:t>
      </w:r>
    </w:p>
    <w:p w:rsidR="00A70DCC" w:rsidRDefault="00A70DCC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009" w:type="dxa"/>
        <w:tblInd w:w="-851" w:type="dxa"/>
        <w:tblLook w:val="04A0"/>
      </w:tblPr>
      <w:tblGrid>
        <w:gridCol w:w="4645"/>
        <w:gridCol w:w="1682"/>
        <w:gridCol w:w="1682"/>
      </w:tblGrid>
      <w:tr w:rsidR="00A70DCC">
        <w:trPr>
          <w:trHeight w:val="954"/>
        </w:trPr>
        <w:tc>
          <w:tcPr>
            <w:tcW w:w="4645" w:type="dxa"/>
            <w:vMerge w:val="restart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A70DCC">
        <w:tc>
          <w:tcPr>
            <w:tcW w:w="4645" w:type="dxa"/>
            <w:vMerge/>
          </w:tcPr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ind w:left="1028" w:hanging="10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ind w:left="1028" w:hanging="10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Українська література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Англійська мова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Зарубіжна література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Історія України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Всесвітня історія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Навчаємось разом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2" w:type="dxa"/>
          </w:tcPr>
          <w:p w:rsidR="00A70DCC" w:rsidRDefault="00A70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Геометрія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Природознавство. Моя планета Земля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2" w:type="dxa"/>
          </w:tcPr>
          <w:p w:rsidR="00A70DCC" w:rsidRDefault="00A70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Природознавство. Мої фізичні відкриття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2" w:type="dxa"/>
          </w:tcPr>
          <w:p w:rsidR="00A70DCC" w:rsidRDefault="00A70D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Біологія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Географія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Фізика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Мистецтво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Технології</w:t>
            </w:r>
            <w:proofErr w:type="spellEnd"/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Інформатика</w:t>
            </w:r>
          </w:p>
        </w:tc>
        <w:tc>
          <w:tcPr>
            <w:tcW w:w="1682" w:type="dxa"/>
          </w:tcPr>
          <w:p w:rsidR="00A70DCC" w:rsidRDefault="002A3811">
            <w:pPr>
              <w:tabs>
                <w:tab w:val="left" w:pos="659"/>
                <w:tab w:val="center" w:pos="1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A70DCC" w:rsidRDefault="002A3811">
            <w:pPr>
              <w:tabs>
                <w:tab w:val="left" w:pos="659"/>
                <w:tab w:val="center" w:pos="1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Фізична культура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Еврика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Разом: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32+3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33+3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Гранично допустиме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навантаженя</w:t>
            </w:r>
            <w:proofErr w:type="spellEnd"/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A70DCC">
        <w:tc>
          <w:tcPr>
            <w:tcW w:w="4645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Сумарна кількість навчальних годин,що фінансується з бюджету (без урахування поділу  класу на  групи)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82" w:type="dxa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</w:tbl>
    <w:p w:rsidR="00A70DCC" w:rsidRDefault="00A70DCC">
      <w:pPr>
        <w:tabs>
          <w:tab w:val="left" w:pos="5670"/>
        </w:tabs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70DCC" w:rsidRDefault="002A381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директора                    Галина КАРАВЕЦЬ</w:t>
      </w:r>
    </w:p>
    <w:p w:rsidR="00A70DCC" w:rsidRDefault="00A70DC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70DCC" w:rsidRDefault="00A70DC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70DCC" w:rsidRDefault="00A70DC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70DCC" w:rsidRDefault="002A3811">
      <w:pPr>
        <w:spacing w:after="0"/>
        <w:ind w:left="-851" w:firstLineChars="2600" w:firstLine="7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A70DCC" w:rsidRDefault="002A381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освітньої програми</w:t>
      </w:r>
    </w:p>
    <w:p w:rsidR="00A70DCC" w:rsidRDefault="00A70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0DCC" w:rsidRDefault="002A3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навчальних програм для учнів 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-А,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-А класів</w:t>
      </w:r>
    </w:p>
    <w:tbl>
      <w:tblPr>
        <w:tblStyle w:val="a3"/>
        <w:tblW w:w="0" w:type="auto"/>
        <w:tblInd w:w="-851" w:type="dxa"/>
        <w:tblLook w:val="04A0"/>
      </w:tblPr>
      <w:tblGrid>
        <w:gridCol w:w="959"/>
        <w:gridCol w:w="9356"/>
      </w:tblGrid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Назва навчальної програми</w:t>
            </w:r>
          </w:p>
        </w:tc>
      </w:tr>
      <w:tr w:rsidR="00A70DCC">
        <w:tc>
          <w:tcPr>
            <w:tcW w:w="10315" w:type="dxa"/>
            <w:gridSpan w:val="2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Авторські програми для класів, які навчаються за програмою проекту «Інтелект України»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  <w:p w:rsidR="00A70DCC" w:rsidRDefault="00A70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Навчаємось разом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Природознавство. Мої фізичні відкриття.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Еврика</w:t>
            </w:r>
          </w:p>
        </w:tc>
      </w:tr>
      <w:tr w:rsidR="00A70DCC">
        <w:tc>
          <w:tcPr>
            <w:tcW w:w="10315" w:type="dxa"/>
            <w:gridSpan w:val="2"/>
          </w:tcPr>
          <w:p w:rsidR="00A70DCC" w:rsidRDefault="002A3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Програми для класів з українською мовою навчання (затверджені наказами МОН України № 804 від 07.06.2017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 № 1407 від 23.10.2017)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</w:tr>
      <w:tr w:rsidR="00A70DCC">
        <w:tc>
          <w:tcPr>
            <w:tcW w:w="959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356" w:type="dxa"/>
          </w:tcPr>
          <w:p w:rsidR="00A70DCC" w:rsidRDefault="002A3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</w:tbl>
    <w:p w:rsidR="00A70DCC" w:rsidRDefault="002A3811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Програми, схвалені для використання у загальноосвітніх навчальних закладах (лист ІІТЗО Міністерства освіти і науки, молоді та </w:t>
      </w:r>
      <w:r>
        <w:rPr>
          <w:rFonts w:ascii="Times New Roman" w:hAnsi="Times New Roman" w:cs="Times New Roman"/>
          <w:b/>
          <w:sz w:val="24"/>
          <w:szCs w:val="24"/>
        </w:rPr>
        <w:t>спорту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України від 02.08.2018 № 21.1/12-Г-1656) Гриф «Рекомендовано Міністерством освіти і науки України»</w:t>
      </w:r>
    </w:p>
    <w:p w:rsidR="00A70DCC" w:rsidRDefault="00A70DCC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70DCC" w:rsidRDefault="002A381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директора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АРАВЕЦь</w:t>
      </w:r>
      <w:proofErr w:type="spellEnd"/>
    </w:p>
    <w:p w:rsidR="00A70DCC" w:rsidRDefault="00A70DCC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sectPr w:rsidR="00A70DCC" w:rsidSect="00A7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DCC" w:rsidRDefault="002A3811">
      <w:pPr>
        <w:spacing w:line="240" w:lineRule="auto"/>
      </w:pPr>
      <w:r>
        <w:separator/>
      </w:r>
    </w:p>
  </w:endnote>
  <w:endnote w:type="continuationSeparator" w:id="1">
    <w:p w:rsidR="00A70DCC" w:rsidRDefault="002A3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DCC" w:rsidRDefault="002A3811">
      <w:pPr>
        <w:spacing w:after="0"/>
      </w:pPr>
      <w:r>
        <w:separator/>
      </w:r>
    </w:p>
  </w:footnote>
  <w:footnote w:type="continuationSeparator" w:id="1">
    <w:p w:rsidR="00A70DCC" w:rsidRDefault="002A38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1B56"/>
    <w:multiLevelType w:val="hybridMultilevel"/>
    <w:tmpl w:val="B7BC4BA0"/>
    <w:lvl w:ilvl="0" w:tplc="27E4B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3E3DF1"/>
    <w:multiLevelType w:val="hybridMultilevel"/>
    <w:tmpl w:val="C55256DE"/>
    <w:lvl w:ilvl="0" w:tplc="63A053AE">
      <w:numFmt w:val="bullet"/>
      <w:lvlText w:val="-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558"/>
    <w:rsid w:val="00004E11"/>
    <w:rsid w:val="000313E0"/>
    <w:rsid w:val="000435C2"/>
    <w:rsid w:val="00052728"/>
    <w:rsid w:val="00060270"/>
    <w:rsid w:val="000A323C"/>
    <w:rsid w:val="000C4155"/>
    <w:rsid w:val="000E5734"/>
    <w:rsid w:val="001C0558"/>
    <w:rsid w:val="00247B59"/>
    <w:rsid w:val="002643E6"/>
    <w:rsid w:val="002A3811"/>
    <w:rsid w:val="002B1D8F"/>
    <w:rsid w:val="00413DB9"/>
    <w:rsid w:val="00462E02"/>
    <w:rsid w:val="0048726F"/>
    <w:rsid w:val="00496222"/>
    <w:rsid w:val="004B1FF4"/>
    <w:rsid w:val="004C7CB9"/>
    <w:rsid w:val="004D3872"/>
    <w:rsid w:val="004F7F55"/>
    <w:rsid w:val="00506506"/>
    <w:rsid w:val="00561700"/>
    <w:rsid w:val="005B0845"/>
    <w:rsid w:val="005C04CB"/>
    <w:rsid w:val="005E4194"/>
    <w:rsid w:val="00605649"/>
    <w:rsid w:val="00630D70"/>
    <w:rsid w:val="0066279A"/>
    <w:rsid w:val="00666A19"/>
    <w:rsid w:val="0068298C"/>
    <w:rsid w:val="006848A2"/>
    <w:rsid w:val="006F1B50"/>
    <w:rsid w:val="007054B6"/>
    <w:rsid w:val="00771C10"/>
    <w:rsid w:val="007B4D23"/>
    <w:rsid w:val="007F5BDC"/>
    <w:rsid w:val="00824CA4"/>
    <w:rsid w:val="00830E6C"/>
    <w:rsid w:val="008445FE"/>
    <w:rsid w:val="00904B90"/>
    <w:rsid w:val="0091170A"/>
    <w:rsid w:val="00945097"/>
    <w:rsid w:val="0098009B"/>
    <w:rsid w:val="009B1A46"/>
    <w:rsid w:val="009F6C7C"/>
    <w:rsid w:val="00A13AD2"/>
    <w:rsid w:val="00A2489F"/>
    <w:rsid w:val="00A70DCC"/>
    <w:rsid w:val="00AB6C27"/>
    <w:rsid w:val="00BA162C"/>
    <w:rsid w:val="00BC16E8"/>
    <w:rsid w:val="00C2093A"/>
    <w:rsid w:val="00C7571F"/>
    <w:rsid w:val="00CC6DB4"/>
    <w:rsid w:val="00CE5C79"/>
    <w:rsid w:val="00D12991"/>
    <w:rsid w:val="00D217D1"/>
    <w:rsid w:val="00D26798"/>
    <w:rsid w:val="00DB0A9E"/>
    <w:rsid w:val="00DC457A"/>
    <w:rsid w:val="00E22BFB"/>
    <w:rsid w:val="00E55385"/>
    <w:rsid w:val="00E861C3"/>
    <w:rsid w:val="00EA0F93"/>
    <w:rsid w:val="00F04A8B"/>
    <w:rsid w:val="00F13AC8"/>
    <w:rsid w:val="00F54A20"/>
    <w:rsid w:val="00F64B76"/>
    <w:rsid w:val="00F71642"/>
    <w:rsid w:val="00FD279B"/>
    <w:rsid w:val="1CC34D02"/>
    <w:rsid w:val="2D25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0D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70D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0D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shodo-organizaciyi-distancijnogo-navcha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706E-08AD-4365-B137-93F3393635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13425</Words>
  <Characters>7653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Lviv</Company>
  <LinksUpToDate>false</LinksUpToDate>
  <CharactersWithSpaces>21036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ZAV-GM</dc:creator>
  <cp:lastModifiedBy>Іра</cp:lastModifiedBy>
  <cp:revision>21</cp:revision>
  <cp:lastPrinted>2023-09-04T16:51:00Z</cp:lastPrinted>
  <dcterms:created xsi:type="dcterms:W3CDTF">2020-05-27T10:02:00Z</dcterms:created>
  <dcterms:modified xsi:type="dcterms:W3CDTF">2023-09-04T16:52:00Z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80A304EAC012433086DACF9A85E71D30</vt:lpwstr>
  </property>
</Properties>
</file>