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69" w:rsidRPr="009A5EAF" w:rsidRDefault="002F3269" w:rsidP="002F3269">
      <w:pPr>
        <w:spacing w:after="225" w:line="240" w:lineRule="auto"/>
        <w:jc w:val="center"/>
        <w:textAlignment w:val="baseline"/>
        <w:outlineLvl w:val="0"/>
        <w:rPr>
          <w:rFonts w:ascii="Helvetica" w:eastAsia="Times New Roman" w:hAnsi="Helvetica" w:cs="Times New Roman"/>
          <w:b/>
          <w:bCs/>
          <w:i/>
          <w:iCs/>
          <w:color w:val="0082C0"/>
          <w:kern w:val="36"/>
          <w:sz w:val="42"/>
          <w:szCs w:val="42"/>
          <w:lang w:eastAsia="uk-UA"/>
        </w:rPr>
      </w:pPr>
      <w:r w:rsidRPr="009A5EAF">
        <w:rPr>
          <w:rFonts w:ascii="Helvetica" w:eastAsia="Times New Roman" w:hAnsi="Helvetica" w:cs="Times New Roman"/>
          <w:b/>
          <w:bCs/>
          <w:i/>
          <w:iCs/>
          <w:color w:val="0082C0"/>
          <w:kern w:val="36"/>
          <w:sz w:val="42"/>
          <w:szCs w:val="42"/>
          <w:lang w:eastAsia="uk-UA"/>
        </w:rPr>
        <w:t>Пам’ятка для батьків «Профілактика скарлатини»</w:t>
      </w:r>
    </w:p>
    <w:p w:rsidR="002F3269" w:rsidRPr="009A5EAF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Скарлатина – 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 xml:space="preserve">інфекційне захворювання, яке </w:t>
      </w:r>
      <w:proofErr w:type="spellStart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визване</w:t>
      </w:r>
      <w:proofErr w:type="spellEnd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 xml:space="preserve"> токсикогенними </w:t>
      </w:r>
      <w:proofErr w:type="spellStart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β-гемолитичними</w:t>
      </w:r>
      <w:proofErr w:type="spellEnd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 xml:space="preserve"> стрептококами групи А.</w:t>
      </w:r>
    </w:p>
    <w:p w:rsidR="002F3269" w:rsidRPr="009A5EAF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Джерело інфекції – 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хвора дитина, або доросла людина. Збудник захворювання знаходиться у слизові ротової порожнини, носоглотці.</w:t>
      </w:r>
    </w:p>
    <w:p w:rsidR="002F3269" w:rsidRPr="009A5EAF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 xml:space="preserve">Механізм передачі </w:t>
      </w:r>
      <w:proofErr w:type="spellStart"/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–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крапельним</w:t>
      </w:r>
      <w:proofErr w:type="spellEnd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 xml:space="preserve"> шляхом, під час прямого контакту з хворим</w:t>
      </w:r>
    </w:p>
    <w:p w:rsidR="002F3269" w:rsidRPr="009A5EAF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Інкубаційний період –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 від 3 до 7, рідко до 11 днів.</w:t>
      </w:r>
    </w:p>
    <w:p w:rsidR="002F3269" w:rsidRPr="009A5EAF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 xml:space="preserve">Ознаки </w:t>
      </w:r>
      <w:proofErr w:type="spellStart"/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–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температура</w:t>
      </w:r>
      <w:proofErr w:type="spellEnd"/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, ангіна, малиновий язик, регіональні лімфатичні вузли збільшені, блювання, висипання на тілі ( на внутрішніх поверхнях стегон, внизу живота тощо).</w:t>
      </w:r>
    </w:p>
    <w:p w:rsidR="002F3269" w:rsidRDefault="002F3269" w:rsidP="002F3269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uk-UA"/>
        </w:rPr>
      </w:pPr>
      <w:r w:rsidRPr="009A5EAF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eastAsia="uk-UA"/>
        </w:rPr>
        <w:t>Профілактика – </w:t>
      </w:r>
      <w:r w:rsidRPr="009A5EAF">
        <w:rPr>
          <w:rFonts w:ascii="Arial" w:eastAsia="Times New Roman" w:hAnsi="Arial" w:cs="Arial"/>
          <w:color w:val="444444"/>
          <w:sz w:val="21"/>
          <w:szCs w:val="21"/>
          <w:lang w:eastAsia="uk-UA"/>
        </w:rPr>
        <w:t>своєчасна діагностика, ізолювання хворого, виконання карантинних термінів (карантин – 7 днів, якщо хворий залишається вдома, то карантин на контактних з ним дітей накладається на 7 днів з початку закінчення гострого періоду, тобто після 10-го дня), провітрювання та прибирання приміщення у відповідності до карантинних вимог.</w:t>
      </w:r>
    </w:p>
    <w:p w:rsidR="00A73624" w:rsidRDefault="002F3269">
      <w:bookmarkStart w:id="0" w:name="_GoBack"/>
      <w:bookmarkEnd w:id="0"/>
    </w:p>
    <w:sectPr w:rsidR="00A736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69"/>
    <w:rsid w:val="002F3269"/>
    <w:rsid w:val="00A6162B"/>
    <w:rsid w:val="00C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2022-11-02T09:57:00Z</dcterms:created>
  <dcterms:modified xsi:type="dcterms:W3CDTF">2022-11-02T09:58:00Z</dcterms:modified>
</cp:coreProperties>
</file>