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32" w:rsidRPr="00BB4A32" w:rsidRDefault="00BB4A32" w:rsidP="00BB4A32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proofErr w:type="gramStart"/>
      <w:r w:rsidRPr="00BB4A32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>Проф</w:t>
      </w:r>
      <w:proofErr w:type="gramEnd"/>
      <w:r w:rsidRPr="00BB4A32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>ілактика</w:t>
      </w:r>
      <w:proofErr w:type="spellEnd"/>
      <w:r w:rsidRPr="00BB4A32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>грипу</w:t>
      </w:r>
      <w:proofErr w:type="spellEnd"/>
      <w:r w:rsidRPr="00BB4A32">
        <w:rPr>
          <w:rFonts w:ascii="Georgia" w:eastAsia="Times New Roman" w:hAnsi="Georgia" w:cs="Tahoma"/>
          <w:color w:val="595858"/>
          <w:sz w:val="36"/>
          <w:szCs w:val="36"/>
          <w:lang w:eastAsia="ru-RU"/>
        </w:rPr>
        <w:t xml:space="preserve"> та ГРВІ</w:t>
      </w:r>
    </w:p>
    <w:p w:rsidR="00BB4A32" w:rsidRPr="00BB4A32" w:rsidRDefault="00BB4A32" w:rsidP="00BB4A32">
      <w:pPr>
        <w:shd w:val="clear" w:color="auto" w:fill="FFFFFF"/>
        <w:spacing w:before="150" w:after="0" w:line="360" w:lineRule="atLeast"/>
        <w:outlineLvl w:val="0"/>
        <w:rPr>
          <w:rFonts w:ascii="Arial" w:eastAsia="Times New Roman" w:hAnsi="Arial" w:cs="Arial"/>
          <w:color w:val="7A7A7A"/>
          <w:kern w:val="36"/>
          <w:sz w:val="30"/>
          <w:szCs w:val="30"/>
          <w:lang w:eastAsia="ru-RU"/>
        </w:rPr>
      </w:pP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Шановні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батьки!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Звертаємось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до вас з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проханням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слідкувати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за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реальним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станом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здоров’я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дітей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.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Вживати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proofErr w:type="gram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проф</w:t>
      </w:r>
      <w:proofErr w:type="gram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ілактичні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засоби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порадившись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з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лікарем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. У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разі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захворюваності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дитини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-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вчасно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звертатись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до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дільничого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лі</w:t>
      </w:r>
      <w:proofErr w:type="gram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каря</w:t>
      </w:r>
      <w:proofErr w:type="spellEnd"/>
      <w:proofErr w:type="gram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. </w:t>
      </w:r>
      <w:proofErr w:type="gram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</w:t>
      </w:r>
      <w:proofErr w:type="gram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метою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профілактики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захворюваності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дітей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на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гострі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респіраторні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захворювання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та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грип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у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дошкільному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навчальному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закладі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>проводяться</w:t>
      </w:r>
      <w:proofErr w:type="spellEnd"/>
      <w:r w:rsidRPr="00BB4A32">
        <w:rPr>
          <w:rFonts w:ascii="Georgia" w:eastAsia="Times New Roman" w:hAnsi="Georgia" w:cs="Tahoma"/>
          <w:i/>
          <w:iCs/>
          <w:color w:val="800000"/>
          <w:kern w:val="36"/>
          <w:sz w:val="27"/>
          <w:szCs w:val="27"/>
          <w:lang w:eastAsia="ru-RU"/>
        </w:rPr>
        <w:t xml:space="preserve"> заходи: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Arial" w:eastAsia="Times New Roman" w:hAnsi="Arial" w:cs="Arial"/>
          <w:b/>
          <w:bCs/>
          <w:noProof/>
          <w:color w:val="7A7A7A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 wp14:anchorId="482F658C" wp14:editId="5D577B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24000"/>
            <wp:effectExtent l="0" t="0" r="0" b="0"/>
            <wp:wrapSquare wrapText="bothSides"/>
            <wp:docPr id="1" name="Рисунок 1" descr="http://dnz52.rv.ua/images/2017-2018/Medicina/Grip/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52.rv.ua/images/2017-2018/Medicina/Grip/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1. Контроль за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реальним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станом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здоров’я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дітей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18"/>
          <w:szCs w:val="18"/>
          <w:lang w:eastAsia="ru-RU"/>
        </w:rPr>
        <w:t>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2. Контроль за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виконанням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режиму дня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дошкільного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навчального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закладу.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3. Контроль </w:t>
      </w:r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якістю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прибирання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приміщеннях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закладу.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4. Контроль за режимом </w:t>
      </w:r>
      <w:proofErr w:type="spellStart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пров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ітрювання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групових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приміщеннях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5. 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Щоденна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ранкова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гімнастика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6. 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Заняття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фізичної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культури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згідно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розкладу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занять.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7. 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рухового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режиму –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чергування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рухливих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малорухливих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ігор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протягом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дня.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8. 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посл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ідовності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під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час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одягання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вулицю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9. 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Перебування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іжому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повітрі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урахуванням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погодних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умов та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одягу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дітей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10. 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Вживання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фітонцидів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(цибуля,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часник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)</w:t>
      </w:r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.</w:t>
      </w:r>
      <w:proofErr w:type="gramEnd"/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11. 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Вживання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кисломолочних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продуктів</w:t>
      </w:r>
      <w:proofErr w:type="spellEnd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.</w:t>
      </w:r>
      <w:proofErr w:type="gramEnd"/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BB4A32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44B5A18A" wp14:editId="07030C2B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381125"/>
            <wp:effectExtent l="0" t="0" r="0" b="9525"/>
            <wp:wrapSquare wrapText="bothSides"/>
            <wp:docPr id="2" name="Рисунок 2" descr="http://dnz52.rv.ua/images/2017-2018/Medicina/Grip/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nz52.rv.ua/images/2017-2018/Medicina/Grip/g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B4A32">
        <w:rPr>
          <w:rFonts w:ascii="Tahoma" w:eastAsia="Times New Roman" w:hAnsi="Tahoma" w:cs="Tahoma"/>
          <w:color w:val="595858"/>
          <w:sz w:val="36"/>
          <w:szCs w:val="36"/>
          <w:lang w:eastAsia="ru-RU"/>
        </w:rPr>
        <w:t>Грип</w:t>
      </w:r>
      <w:proofErr w:type="spellEnd"/>
      <w:r w:rsidRPr="00BB4A32">
        <w:rPr>
          <w:rFonts w:ascii="Tahoma" w:eastAsia="Times New Roman" w:hAnsi="Tahoma" w:cs="Tahoma"/>
          <w:color w:val="595858"/>
          <w:sz w:val="36"/>
          <w:szCs w:val="36"/>
          <w:lang w:eastAsia="ru-RU"/>
        </w:rPr>
        <w:t> </w:t>
      </w:r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–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вірусне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захворювання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розпочинається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раптово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бурхливо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супроводжується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лихоманкою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головними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м’язовими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суглобним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болями, </w:t>
      </w:r>
      <w:proofErr w:type="spellStart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ідвищеною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температурою.</w:t>
      </w:r>
    </w:p>
    <w:p w:rsidR="00BB4A32" w:rsidRPr="00BB4A32" w:rsidRDefault="00BB4A32" w:rsidP="00BB4A32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Інфікуватися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можна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тільки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при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чханні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кашлі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хворого та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користуючись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його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речами, </w:t>
      </w:r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але й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перебуваючи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приміщенні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транспорті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де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нещодавно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знаходився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хворий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  <w:r w:rsidRPr="00BB4A32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Хвороба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перемагає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тих, у кого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недостатньо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сильний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імунітет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Тому,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щоб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захворіти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грип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період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proofErr w:type="gram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еп</w:t>
      </w:r>
      <w:proofErr w:type="gram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ідемічного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підвищення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цього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захворювання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слід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вдаватися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ефективних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профілактичних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заходів</w:t>
      </w:r>
      <w:proofErr w:type="spellEnd"/>
      <w:r w:rsidRPr="00BB4A32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:</w:t>
      </w:r>
    </w:p>
    <w:p w:rsidR="00BB4A32" w:rsidRPr="00BB4A32" w:rsidRDefault="00BB4A32" w:rsidP="00BB4A3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hyperlink r:id="rId7" w:tooltip="Обережно, грип!" w:history="1">
        <w:proofErr w:type="spellStart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Детальніше</w:t>
        </w:r>
        <w:proofErr w:type="spellEnd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: </w:t>
        </w:r>
        <w:proofErr w:type="spellStart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Обережно</w:t>
        </w:r>
        <w:proofErr w:type="spellEnd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, </w:t>
        </w:r>
        <w:proofErr w:type="spellStart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грип</w:t>
        </w:r>
        <w:proofErr w:type="spellEnd"/>
        <w:r w:rsidRPr="00BB4A32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!</w:t>
        </w:r>
      </w:hyperlink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58"/>
    <w:rsid w:val="009F6A7C"/>
    <w:rsid w:val="00BB4A32"/>
    <w:rsid w:val="00E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3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nz52.rv.ua/index.php/tips-for-a-nurse/226-oberezhno-hryp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2021-12-21T21:47:00Z</dcterms:created>
  <dcterms:modified xsi:type="dcterms:W3CDTF">2021-12-21T21:47:00Z</dcterms:modified>
</cp:coreProperties>
</file>