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91" w:rsidRDefault="001442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54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КРИТЕРІЇ ОЦІНЮВАННЯ НАВЧАЛЬНИХ ДОСЯГНЕНЬ УЧНІВ </w:t>
      </w:r>
    </w:p>
    <w:p w:rsidR="00417891" w:rsidRDefault="001442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40" w:lineRule="auto"/>
        <w:ind w:right="3078"/>
        <w:jc w:val="right"/>
        <w:rPr>
          <w:rFonts w:ascii="Times" w:eastAsia="Times" w:hAnsi="Times" w:cs="Times"/>
          <w:b/>
          <w:i/>
          <w:color w:val="000000"/>
          <w:sz w:val="28"/>
          <w:szCs w:val="28"/>
        </w:rPr>
      </w:pPr>
      <w:r>
        <w:rPr>
          <w:rFonts w:ascii="Times" w:eastAsia="Times" w:hAnsi="Times" w:cs="Times"/>
          <w:b/>
          <w:i/>
          <w:color w:val="000000"/>
          <w:sz w:val="28"/>
          <w:szCs w:val="28"/>
        </w:rPr>
        <w:t xml:space="preserve">1. Критерії оцінювання </w:t>
      </w:r>
    </w:p>
    <w:p w:rsidR="00417891" w:rsidRDefault="001442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89" w:right="67" w:firstLine="547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Особливістю предмета </w:t>
      </w:r>
      <w:r>
        <w:rPr>
          <w:rFonts w:ascii="Times" w:eastAsia="Times" w:hAnsi="Times" w:cs="Times"/>
          <w:b/>
          <w:color w:val="000000"/>
          <w:sz w:val="28"/>
          <w:szCs w:val="28"/>
        </w:rPr>
        <w:t>Захист</w:t>
      </w:r>
      <w:r>
        <w:rPr>
          <w:rFonts w:ascii="Times" w:eastAsia="Times" w:hAnsi="Times" w:cs="Times"/>
          <w:b/>
          <w:sz w:val="28"/>
          <w:szCs w:val="28"/>
        </w:rPr>
        <w:t xml:space="preserve"> України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є його спрямованість на  підготовку учнів до військової служби та виконання військових обов’язків у  запасі, дій у надзвичайних ситуаціях. Отже, об’єктами навчальних досягнень  учнів є не тільки якісні знання навчального матеріалу, а й набуття  практичних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умінь і навичок з основ військової справи, цивільного захисту,  медичних знань і першої допомоги. Тому оцінюванню підлягає:  </w:t>
      </w:r>
    </w:p>
    <w:p w:rsidR="00417891" w:rsidRDefault="001442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97" w:right="73" w:firstLine="528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рівень засвоєння учнями знань з предмета під час усного чи письмового  опитування, тестування;  </w:t>
      </w:r>
    </w:p>
    <w:p w:rsidR="00417891" w:rsidRDefault="001442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88" w:right="66" w:firstLine="53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рівень вмінь застосовувати знання під час практичних занять, у ході  яких учні виконують підготовчі вправи, початкові та навчальні вправи,  прийоми та способи тактичних, вогневих дій та дій у надзвичайних  ситуаціях;  </w:t>
      </w:r>
    </w:p>
    <w:p w:rsidR="00417891" w:rsidRDefault="001442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334" w:right="41" w:firstLine="532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рівень володіння практичними вміннями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та навичками, що виявляються  під час виконання нормативів, контрольних вправ (занять).  </w:t>
      </w:r>
    </w:p>
    <w:p w:rsidR="00417891" w:rsidRDefault="001442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right="3643"/>
        <w:jc w:val="right"/>
        <w:rPr>
          <w:rFonts w:ascii="Times" w:eastAsia="Times" w:hAnsi="Times" w:cs="Times"/>
          <w:b/>
          <w:i/>
          <w:color w:val="000000"/>
          <w:sz w:val="28"/>
          <w:szCs w:val="28"/>
        </w:rPr>
      </w:pPr>
      <w:r>
        <w:rPr>
          <w:rFonts w:ascii="Times" w:eastAsia="Times" w:hAnsi="Times" w:cs="Times"/>
          <w:b/>
          <w:i/>
          <w:color w:val="000000"/>
          <w:sz w:val="28"/>
          <w:szCs w:val="28"/>
        </w:rPr>
        <w:t xml:space="preserve">2. Оцінювання </w:t>
      </w:r>
    </w:p>
    <w:p w:rsidR="00417891" w:rsidRDefault="001442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297" w:right="994" w:firstLine="537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2.1. Рівні навчальних досягнень та критерії оцінювання учнів  наведені у наступній таблиці. </w:t>
      </w:r>
    </w:p>
    <w:tbl>
      <w:tblPr>
        <w:tblStyle w:val="a8"/>
        <w:tblW w:w="97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667"/>
        <w:gridCol w:w="7416"/>
      </w:tblGrid>
      <w:tr w:rsidR="00417891">
        <w:trPr>
          <w:trHeight w:val="162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Рівні  </w:t>
            </w:r>
          </w:p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69" w:right="88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навчальних  досягнень  </w:t>
            </w:r>
          </w:p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учнів</w:t>
            </w: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Ба </w:t>
            </w:r>
          </w:p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ли</w:t>
            </w:r>
            <w:proofErr w:type="spellEnd"/>
          </w:p>
        </w:tc>
        <w:tc>
          <w:tcPr>
            <w:tcW w:w="7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Критерії оцінювання якості знань, умінь і навичок учнів</w:t>
            </w:r>
          </w:p>
        </w:tc>
      </w:tr>
      <w:tr w:rsidR="00417891">
        <w:trPr>
          <w:trHeight w:val="331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7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3</w:t>
            </w:r>
          </w:p>
        </w:tc>
      </w:tr>
      <w:tr w:rsidR="00417891">
        <w:trPr>
          <w:trHeight w:val="1942"/>
        </w:trPr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І. </w:t>
            </w:r>
          </w:p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Початковий</w:t>
            </w: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37" w:hanging="1"/>
              <w:jc w:val="both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Учень може розрізняти об’єкт вивчення і відтворити деякі  його елементи. Володіє навчальним матеріалом на рівні  елементарного розпізнавання і відтворення окремих фактів,  елементів, об’єктів, що відтворюються учнем окремими  словами чи реченнями з постійн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ою допомогою викладача,  виконує лише фрагменти практичних завдань</w:t>
            </w:r>
          </w:p>
        </w:tc>
      </w:tr>
      <w:tr w:rsidR="00417891">
        <w:trPr>
          <w:trHeight w:val="1620"/>
        </w:trPr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41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7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38"/>
              <w:jc w:val="both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Учень фрагментарно відтворює незначну частину  навчального матеріалу, має поверхові уявлення про об’єкт  вивчення, виявляє здатність викласти думку на  елементарному рівні, має елементарні навички, практичні  завдання виконує лише з допомогою викладача</w:t>
            </w:r>
          </w:p>
        </w:tc>
      </w:tr>
      <w:tr w:rsidR="00417891">
        <w:trPr>
          <w:trHeight w:val="1298"/>
        </w:trPr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41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7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35" w:firstLine="4"/>
              <w:jc w:val="both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Учень відтворює менше половини навчального матеріалу, за  допомогою викладача виконує елементарні завдання,  розрізняє елементи техніки виконання нормативних вимог і  здатний виконати незначну їх частину</w:t>
            </w:r>
          </w:p>
        </w:tc>
      </w:tr>
    </w:tbl>
    <w:p w:rsidR="00417891" w:rsidRDefault="004178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17891" w:rsidRDefault="004178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9"/>
        <w:tblW w:w="97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562"/>
        <w:gridCol w:w="7521"/>
      </w:tblGrid>
      <w:tr w:rsidR="00417891">
        <w:trPr>
          <w:trHeight w:val="162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Рівні  </w:t>
            </w:r>
          </w:p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69" w:right="88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навчальних  досягнень  </w:t>
            </w:r>
          </w:p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учнів</w:t>
            </w:r>
          </w:p>
        </w:tc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Ба </w:t>
            </w:r>
          </w:p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ли</w:t>
            </w:r>
            <w:proofErr w:type="spellEnd"/>
          </w:p>
        </w:tc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Критерії оцінювання якості знань, умінь і навичок учнів</w:t>
            </w:r>
          </w:p>
        </w:tc>
      </w:tr>
      <w:tr w:rsidR="00417891">
        <w:trPr>
          <w:trHeight w:val="333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3</w:t>
            </w:r>
          </w:p>
        </w:tc>
      </w:tr>
      <w:tr w:rsidR="00417891">
        <w:trPr>
          <w:trHeight w:val="1620"/>
        </w:trPr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ІІ. Середній </w:t>
            </w:r>
          </w:p>
        </w:tc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38"/>
              <w:jc w:val="both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Учень знає близько половини навчального матеріалу,  здатний відтворювати його не в повному обсязі відповідно  до тексту підручника або пояснення викладача, його вміння  і навички дають змогу виконувати практичні дії на рівні  нижчої межі середнього рівня н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ормативного часу</w:t>
            </w:r>
          </w:p>
        </w:tc>
      </w:tr>
      <w:tr w:rsidR="00417891">
        <w:trPr>
          <w:trHeight w:val="1620"/>
        </w:trPr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41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41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8" w:right="34" w:hanging="1"/>
              <w:jc w:val="both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Учень розуміє основний навчальний матеріал, здатний дати  визначення понять, але допускає помилки. За допомогою  викладача може </w:t>
            </w: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логічно</w:t>
            </w:r>
            <w:proofErr w:type="spellEnd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відтворювати значну його частину,  його уміння і навички дають змогу виконувати практичні дії  на рівні середньої межі н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ормативного часу</w:t>
            </w:r>
          </w:p>
        </w:tc>
      </w:tr>
      <w:tr w:rsidR="00417891">
        <w:trPr>
          <w:trHeight w:val="2263"/>
        </w:trPr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41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35"/>
              <w:jc w:val="both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Учень виявляє знання і розуміння основних положень  навчального матеріалу, відповіді його правильні, він може  відтворити значну частину теоретичного матеріалу, за  допомогою викладача може його аналізувати, порівнювати  та робити висновки, здатний виконув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ати контрольні  нормативи на рівні вищої межі середнього нормативного  часу</w:t>
            </w:r>
          </w:p>
        </w:tc>
      </w:tr>
      <w:tr w:rsidR="00417891">
        <w:trPr>
          <w:trHeight w:val="1941"/>
        </w:trPr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Ш.  </w:t>
            </w:r>
          </w:p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Достатній </w:t>
            </w:r>
          </w:p>
        </w:tc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34" w:hanging="1"/>
              <w:jc w:val="both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Учень виявляє знання і розуміння переважної більшості  навчального матеріалу, здатний застосовувати його на рівні  стандартних вимог, частково контролювати власні  навчальні дії, рівень практичних умінь і навичок дає змогу  виконувати нормативи на рівні ни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жчої межі достатнього  нормативного часу</w:t>
            </w:r>
          </w:p>
        </w:tc>
      </w:tr>
      <w:tr w:rsidR="00417891">
        <w:trPr>
          <w:trHeight w:val="1942"/>
        </w:trPr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41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38" w:firstLine="4"/>
              <w:jc w:val="both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Знання учня достатньо повні, він вільно застосовує  вивчений матеріал у стандартних ситуаціях, вміє  аналізувати, робити висновки. Самостійно застосовує  теоретичні знання для виконання практичних завдань.  Виконує нормативи на рівні середньої межі достатн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ього  нормативного часу.</w:t>
            </w:r>
          </w:p>
        </w:tc>
      </w:tr>
      <w:tr w:rsidR="00417891">
        <w:trPr>
          <w:trHeight w:val="1298"/>
        </w:trPr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41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37"/>
              <w:jc w:val="both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Учень вільно володіє вивченим матеріалом, вміє  узагальнювати інформацію, застосовує її на практиці, рівень  умінь і навичок при виконанні нормативів відповідає вищій  межі достатнього нормативного часу</w:t>
            </w:r>
          </w:p>
        </w:tc>
      </w:tr>
    </w:tbl>
    <w:p w:rsidR="00417891" w:rsidRDefault="004178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17891" w:rsidRDefault="004178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97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562"/>
        <w:gridCol w:w="7521"/>
      </w:tblGrid>
      <w:tr w:rsidR="00417891">
        <w:trPr>
          <w:trHeight w:val="162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Рівні  </w:t>
            </w:r>
          </w:p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69" w:right="88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навчальних  досягнень  </w:t>
            </w:r>
          </w:p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учнів</w:t>
            </w:r>
          </w:p>
        </w:tc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Ба </w:t>
            </w:r>
          </w:p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ли</w:t>
            </w:r>
            <w:proofErr w:type="spellEnd"/>
          </w:p>
        </w:tc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Критерії оцінювання якості знань, умінь і навичок учнів</w:t>
            </w:r>
          </w:p>
        </w:tc>
      </w:tr>
      <w:tr w:rsidR="00417891">
        <w:trPr>
          <w:trHeight w:val="333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3</w:t>
            </w:r>
          </w:p>
        </w:tc>
      </w:tr>
      <w:tr w:rsidR="00417891">
        <w:trPr>
          <w:trHeight w:val="2263"/>
        </w:trPr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ІV. Високий </w:t>
            </w:r>
          </w:p>
        </w:tc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33" w:firstLine="4"/>
              <w:jc w:val="both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Учень володіє глибокими, міцними знаннями, здатний  використовувати їх у нестандартних ситуаціях. Виявляє  творчі здібності, самостійно визначає окремі цілі власної  пізнавальної діяльності, знаходить джерела інформації та  самостійно використовує їх при в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ирішенні поставлених  завдань. Нормативи виконує на рівні нижчої межі високого  рівня</w:t>
            </w:r>
          </w:p>
        </w:tc>
      </w:tr>
      <w:tr w:rsidR="00417891">
        <w:trPr>
          <w:trHeight w:val="2263"/>
        </w:trPr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41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37"/>
              <w:jc w:val="both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Учень володіє узагальненими знаннями з предмета, вільно  висловлює власні думки, визначає програму особистої  пізнавальної діяльності без допомоги викладача знаходить  джерела інформації та використовує одержані відомості  відповідно до мети та завдань вла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сної пізнавальної  діяльності. Нормативи виконує на рівні середньої межі  високого нормативного часу</w:t>
            </w:r>
          </w:p>
        </w:tc>
      </w:tr>
      <w:tr w:rsidR="00417891">
        <w:trPr>
          <w:trHeight w:val="1944"/>
        </w:trPr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41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7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91" w:rsidRDefault="0014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36" w:firstLine="4"/>
              <w:jc w:val="both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Учень має системні знання, виявляє здатність приймати  творчі рішення, самостійно розвиває власні обдарування і  нахили, вміє самостійно здобувати знання, рівень умінь і  навичок дає змогу виконувати нормативи на бездоганному  рівні та зі значним перевищен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ням високого рівня  нормативного часу</w:t>
            </w:r>
          </w:p>
        </w:tc>
      </w:tr>
    </w:tbl>
    <w:p w:rsidR="00417891" w:rsidRDefault="004178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17891" w:rsidRDefault="004178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17891" w:rsidRDefault="001442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89" w:right="65" w:firstLine="544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2.2. Види оцінювання.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Основними видами оцінювання є: поточне;  тематичне; підсумкове за семестр, перший і другий рік навчання та  навчально-польові збори (заняття).  </w:t>
      </w:r>
    </w:p>
    <w:p w:rsidR="00417891" w:rsidRDefault="001442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91" w:right="67" w:firstLine="543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2.3. Поточне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оцінювання здійснюється на всіх етапах навчальної  діяльності у формах: опитування учнів на предмет засвоєння навчального  матеріалу; тестового контролю; виконання учнями нормативних прийомів і  вправ, письмових робіт; створення навчальних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коип’ютерних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(та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іншого  виду) </w:t>
      </w:r>
      <w:r>
        <w:rPr>
          <w:rFonts w:ascii="Times" w:eastAsia="Times" w:hAnsi="Times" w:cs="Times"/>
          <w:color w:val="000000"/>
          <w:sz w:val="28"/>
          <w:szCs w:val="28"/>
        </w:rPr>
        <w:lastRenderedPageBreak/>
        <w:t xml:space="preserve">моделей бойових дій і надзвичайних ситуацій, навчальних макетів  (мішеней). Необхідність поточного оцінювання визначає викладач.  </w:t>
      </w:r>
    </w:p>
    <w:p w:rsidR="00417891" w:rsidRDefault="001442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94" w:right="64" w:firstLine="540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2.4. Тематичне </w:t>
      </w:r>
      <w:r>
        <w:rPr>
          <w:rFonts w:ascii="Times" w:eastAsia="Times" w:hAnsi="Times" w:cs="Times"/>
          <w:color w:val="000000"/>
          <w:sz w:val="28"/>
          <w:szCs w:val="28"/>
        </w:rPr>
        <w:t>оцінювання є обов’язковим для кожного розділу,  оскільки основною структурною одиницею предмета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є тема. Оцінка за тему  виставляється шляхом узагальнення поточних оцінок за тему з урахуванням  оцінок за виконання нормативних прийомів і вправ, письмових робіт, за  створені навчальні моделі (макети).  </w:t>
      </w:r>
    </w:p>
    <w:p w:rsidR="00417891" w:rsidRDefault="001442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834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2.5. Підсумкове оцінювання учнів.  </w:t>
      </w:r>
    </w:p>
    <w:p w:rsidR="00417891" w:rsidRDefault="001442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289" w:right="68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Підсумкова оцінка за семестр, перший рік навчання, підсумкова  оцінка за навчально-польові збори виставляється шляхом узагальнення  тематичних і семестрових оцінок. </w:t>
      </w:r>
    </w:p>
    <w:p w:rsidR="00417891" w:rsidRDefault="00417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291" w:right="63" w:firstLine="728"/>
        <w:rPr>
          <w:rFonts w:ascii="Times" w:eastAsia="Times" w:hAnsi="Times" w:cs="Times"/>
          <w:b/>
          <w:color w:val="000000"/>
          <w:sz w:val="28"/>
          <w:szCs w:val="28"/>
        </w:rPr>
      </w:pPr>
    </w:p>
    <w:sectPr w:rsidR="00417891">
      <w:pgSz w:w="11900" w:h="16820"/>
      <w:pgMar w:top="1106" w:right="707" w:bottom="1221" w:left="141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91"/>
    <w:rsid w:val="0014420B"/>
    <w:rsid w:val="0041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29680-A2A3-48E1-B3B4-5E97CF4A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E87A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87A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87A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87A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87A6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87A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87A6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E87A6F"/>
  </w:style>
  <w:style w:type="table" w:customStyle="1" w:styleId="TableNormal0">
    <w:name w:val="Table Normal"/>
    <w:rsid w:val="00E87A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E87A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E87A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E87A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8y6zrlC1whzEq84XuXcx2EaYuA==">AMUW2mXrhMbgjHRZaebqLVS/X5f8x8s6HEwtfInD3D75WaKXdRxDPARdtKEKOBLYmg2z13coL8qxW6aU1GWGDDVLaT/lIim+dD0rqIvlmhg6eG+fb+4VRHk=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3842</Words>
  <Characters>2191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2021-09-27T19:20:00Z</dcterms:created>
  <dcterms:modified xsi:type="dcterms:W3CDTF">2021-09-27T19:20:00Z</dcterms:modified>
</cp:coreProperties>
</file>