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ЗАТВЕРДЖУЮ: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до наказу ЗДО№5 </w:t>
      </w:r>
    </w:p>
    <w:p w:rsid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№ 142 від 24.09.2021р.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7C6F" w:rsidRPr="00967C6F" w:rsidRDefault="00967C6F" w:rsidP="00967C6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ПРОТИЕПІДЕМІЧНІ ЗАХОДИ</w:t>
      </w:r>
      <w:r w:rsidRPr="00967C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закладі дошкільної освіти № 5 на період карантину у зв'язку поширенням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хвороби (</w:t>
      </w:r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COVID</w:t>
      </w:r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-19)</w:t>
      </w:r>
    </w:p>
    <w:p w:rsidR="00967C6F" w:rsidRPr="00967C6F" w:rsidRDefault="00967C6F" w:rsidP="00967C6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Постанови Головного державного санітарного лікаря України від 06.09.2021 № 10 «Про затвердження протиепідемічних заходів у закладах освіти на період карантину у зв’язку з поширенням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хвороби (СО</w:t>
      </w:r>
      <w:r w:rsidRPr="00967C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VID</w:t>
      </w:r>
      <w:r w:rsidRPr="00967C6F">
        <w:rPr>
          <w:rFonts w:ascii="Times New Roman" w:eastAsia="Times New Roman" w:hAnsi="Times New Roman" w:cs="Times New Roman"/>
          <w:sz w:val="28"/>
          <w:szCs w:val="28"/>
          <w:lang w:eastAsia="uk-UA"/>
        </w:rPr>
        <w:t>-19)»,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n11"/>
      <w:bookmarkStart w:id="2" w:name="n12"/>
      <w:bookmarkEnd w:id="1"/>
      <w:bookmarkEnd w:id="2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покладається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" w:name="n13"/>
      <w:bookmarkEnd w:id="3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особа, яка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пройшла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інструктаж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наказом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" w:name="n14"/>
      <w:bookmarkEnd w:id="4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щоденний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" w:name="n15"/>
      <w:bookmarkEnd w:id="5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роз'яснювальної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персоналом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ілактики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реагування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симптомів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(COVID-19)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" w:name="n16"/>
      <w:bookmarkEnd w:id="6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вакцинації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ілактики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інфекційних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неінфекційних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протидії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(COVID-19);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" w:name="n17"/>
      <w:bookmarkEnd w:id="7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алгоритмів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надзвичайної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пов'язаною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реєстрацією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коронавірусну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хворобу (COVID-19)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" w:name="n18"/>
      <w:bookmarkEnd w:id="8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персоналу,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таким,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самоізоляції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галузевих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9" w:name="n19"/>
      <w:bookmarkEnd w:id="9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інструктажу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інфекції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(COVID-19),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протиепідемічних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n20"/>
      <w:bookmarkEnd w:id="10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Допуск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персоналу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іраторів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масок,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закривають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ніс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рот, у тому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виготовлених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1" w:name="n21"/>
      <w:bookmarkEnd w:id="11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температурою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37,2° C та/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співробітник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допускається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рекомендаціями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звернутись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n22"/>
      <w:bookmarkEnd w:id="12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температури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37,2° C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вдома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повідомляє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виходить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роботу,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одночасно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звертаючись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3" w:name="n23"/>
      <w:bookmarkEnd w:id="13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дуального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маска на 3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години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наявності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5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т. ч. на 1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безпосередньо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робочому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4" w:name="n24"/>
      <w:bookmarkEnd w:id="14"/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кожного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перед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чистих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повинен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ретельно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руки з милом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антисептичним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n25"/>
      <w:bookmarkEnd w:id="15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дуального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взаємоспілкування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поміж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собою.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n26"/>
      <w:bookmarkEnd w:id="16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n27"/>
      <w:bookmarkEnd w:id="17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дуального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паперових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серветок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кришками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поліетиленовими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пакетами,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утилізацією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угодами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твердих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n28"/>
      <w:bookmarkEnd w:id="18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дуального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утилізації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контроль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" w:name="n29"/>
      <w:bookmarkEnd w:id="19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рукомийники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мило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рідке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паперові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рушники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електросушарки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рук),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антисептичні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n30"/>
      <w:bookmarkEnd w:id="20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закритих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приміщеннях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ректоратів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трудового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колективу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1" w:name="n31"/>
      <w:bookmarkEnd w:id="21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обладнанням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безконтактними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термометрами,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дезінфекційними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тому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антисептичними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n32"/>
      <w:bookmarkEnd w:id="22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плакатів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банерів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про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етикету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кашлю.</w:t>
      </w:r>
    </w:p>
    <w:p w:rsidR="00967C6F" w:rsidRPr="00967C6F" w:rsidRDefault="00967C6F" w:rsidP="00967C6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3" w:name="n33"/>
      <w:bookmarkEnd w:id="23"/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Вимоги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організації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освітнього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процесу</w:t>
      </w:r>
      <w:proofErr w:type="spellEnd"/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4" w:name="n34"/>
      <w:bookmarkEnd w:id="24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затверджує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відбувається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допуск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закладу,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маршрути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залучаються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входи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закладу).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5" w:name="n35"/>
      <w:bookmarkEnd w:id="25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Графік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допуску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повинен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сформований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таким чином,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скупчення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6" w:name="n36"/>
      <w:bookmarkEnd w:id="26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Вхід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дозволяється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прав,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термометрії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7" w:name="n37"/>
      <w:bookmarkEnd w:id="27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Допуск до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супроводжуючих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супроводжують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абзацом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першим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пункту,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n38"/>
      <w:bookmarkEnd w:id="28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іраторної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відсутності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одягає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ізоляція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відведеному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інформуються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батьки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9" w:name="n39"/>
      <w:bookmarkEnd w:id="29"/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вилучення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з симптомами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інфекційної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перебувала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особа, проводиться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провітрювання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дезінфекція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висококонтактних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поверхонь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0" w:name="n40"/>
      <w:bookmarkEnd w:id="30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Вхід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дуального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1" w:name="n41"/>
      <w:bookmarkEnd w:id="31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приміщеннях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пересування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приміщеннями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масок є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обов'язковим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n42"/>
      <w:bookmarkStart w:id="33" w:name="n43"/>
      <w:bookmarkEnd w:id="32"/>
      <w:bookmarkEnd w:id="33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входах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закладу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організовуються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антисептичними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позначаються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яскравим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вказівником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правила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дезінфекції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банер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наклейка,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967C6F" w:rsidRPr="00967C6F" w:rsidRDefault="00967C6F" w:rsidP="00967C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Пересування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аудиторіями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повинно бути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мінімізованим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шляхом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впродовж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для одного і того ж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аудиторії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модульного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ідходу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розкладі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часу початку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запасних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розмітки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ідлозі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полегшує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двостороннього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коридорами,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виокремлення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зон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переміщення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відкритому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повітрі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4" w:name="n52"/>
      <w:bookmarkStart w:id="35" w:name="n53"/>
      <w:bookmarkEnd w:id="34"/>
      <w:bookmarkEnd w:id="35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Наповненість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повинна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6" w:name="n54"/>
      <w:bookmarkStart w:id="37" w:name="n55"/>
      <w:bookmarkEnd w:id="36"/>
      <w:bookmarkEnd w:id="37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ідтвердження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COVID-19 в одного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визнаються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такими,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самоізоляції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галузевими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стандартами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8" w:name="n56"/>
      <w:bookmarkEnd w:id="38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16.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кімнатах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потрібно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наявність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ідкого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мила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паперових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рушників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електросушарок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рук).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багаторазових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рушникі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заборонено.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9" w:name="n57"/>
      <w:bookmarkEnd w:id="39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заходом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миття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з милом.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доц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ільне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коли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відсутній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проточної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з милом.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Протирання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вологими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серветками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знезараження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заміна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миття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антисептичної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0" w:name="n58"/>
      <w:bookmarkEnd w:id="40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кінці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провести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дезінфекцію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поверхонь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тому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дверних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ручок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столів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сидіння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перил,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1" w:name="n59"/>
      <w:bookmarkEnd w:id="41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18.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кожного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провітрювання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впродовж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При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ітрюванні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замків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вікна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2" w:name="n60"/>
      <w:bookmarkEnd w:id="42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Санітарно-дезінфекційний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режим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карантину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 </w:t>
      </w:r>
      <w:proofErr w:type="spellStart"/>
      <w:r w:rsidRPr="00967C6F">
        <w:fldChar w:fldCharType="begin"/>
      </w:r>
      <w:r w:rsidRPr="00967C6F">
        <w:instrText xml:space="preserve"> HYPERLINK "https://zakon.rada.gov.ua/rada/show/z1111-20" \l "n15" \t "_blank" </w:instrText>
      </w:r>
      <w:r w:rsidRPr="00967C6F">
        <w:fldChar w:fldCharType="separate"/>
      </w:r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Санітарного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регламенту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закладів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загальної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середньої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fldChar w:fldCharType="end"/>
      </w: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наказом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25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2020 року № 2205,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зареєстрованого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юстиції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листопада 2020 року за № 1111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/35394.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дезінфекційного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3" w:name="n61"/>
      <w:bookmarkEnd w:id="43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розважальних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релігійних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рекламних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4" w:name="n62"/>
      <w:bookmarkEnd w:id="44"/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Вимоги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</w:t>
      </w:r>
      <w:proofErr w:type="gram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організації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харчування</w:t>
      </w:r>
      <w:proofErr w:type="spellEnd"/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5" w:name="n63"/>
      <w:bookmarkEnd w:id="45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Рекомендовано провести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максимальної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одночасно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(на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роздачі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їжу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порушуючи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дистанції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метр. </w:t>
      </w:r>
      <w:bookmarkStart w:id="46" w:name="n64"/>
      <w:bookmarkEnd w:id="46"/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режим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здобувача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ємностей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ідини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фасованої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7" w:name="n65"/>
      <w:bookmarkEnd w:id="47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23.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відстань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столами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менше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1,5 м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столом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4-х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8" w:name="n66"/>
      <w:bookmarkStart w:id="49" w:name="n67"/>
      <w:bookmarkEnd w:id="48"/>
      <w:bookmarkEnd w:id="49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24.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їдальні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страви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повинен бути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маскою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іратором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окулярами,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щитком, 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рукавичками.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0" w:name="n68"/>
      <w:bookmarkEnd w:id="50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25. При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ієни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рукомийники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мило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рідке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паперові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рушники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електросушарки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рук),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антисептичні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обробки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1" w:name="n69"/>
      <w:bookmarkEnd w:id="51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26.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харчоблоку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провести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одягання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утилізації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2" w:name="n70"/>
      <w:bookmarkStart w:id="53" w:name="n79"/>
      <w:bookmarkEnd w:id="52"/>
      <w:bookmarkEnd w:id="53"/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Вимоги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поводження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використаними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засобами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захисту</w:t>
      </w:r>
      <w:proofErr w:type="spellEnd"/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4" w:name="n80"/>
      <w:bookmarkEnd w:id="54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27.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утилізацію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маски,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гумові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рукавички,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щитки),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паперових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серветок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урни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пластикові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кришками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поліетиленовими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пакетами,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чином: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5" w:name="n81"/>
      <w:bookmarkEnd w:id="55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місткість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/урн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відвідувачів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утилізацією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укладеними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угодами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твердих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побутових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відходів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6" w:name="n82"/>
      <w:bookmarkEnd w:id="56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рекомендовано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входу в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коридорах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санвузлах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7" w:name="n83"/>
      <w:bookmarkEnd w:id="57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поліетиленові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пакети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зібрано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маски,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іратори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гумові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рукавички,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щитки),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замінювати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заповнення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графіком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щільно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зав'язувати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пакет для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надійності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використаних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наносити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маркування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("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");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8" w:name="n84"/>
      <w:bookmarkEnd w:id="58"/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щоденно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дезінфекцію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контейнерів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картонні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контейнери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одноразового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підлягають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утилізації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bookmarkStart w:id="59" w:name="n85"/>
      <w:bookmarkEnd w:id="59"/>
    </w:p>
    <w:p w:rsidR="00967C6F" w:rsidRPr="00967C6F" w:rsidRDefault="00967C6F" w:rsidP="00967C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ЗАТВЕРДЖУЮ: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до наказу ЗДО№5 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№ 142 від 24.09.2021р.</w:t>
      </w:r>
    </w:p>
    <w:p w:rsidR="00967C6F" w:rsidRPr="00967C6F" w:rsidRDefault="00967C6F" w:rsidP="00967C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7C6F" w:rsidRPr="00967C6F" w:rsidRDefault="00967C6F" w:rsidP="00967C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6F" w:rsidRPr="00967C6F" w:rsidRDefault="00967C6F" w:rsidP="00967C6F">
      <w:pPr>
        <w:widowControl w:val="0"/>
        <w:tabs>
          <w:tab w:val="left" w:pos="130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67C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Алгоритм  дій на випадок надзвичайної ситуації, пов'язаною з реєстрацією випадків захворювання на </w:t>
      </w:r>
      <w:proofErr w:type="spellStart"/>
      <w:r w:rsidRPr="00967C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коронавірусну</w:t>
      </w:r>
      <w:proofErr w:type="spellEnd"/>
      <w:r w:rsidRPr="00967C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хворобу (СО</w:t>
      </w:r>
      <w:r w:rsidRPr="00967C6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vid</w:t>
      </w:r>
      <w:r w:rsidRPr="00967C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-19): </w:t>
      </w:r>
    </w:p>
    <w:p w:rsidR="00967C6F" w:rsidRPr="00967C6F" w:rsidRDefault="00967C6F" w:rsidP="00967C6F">
      <w:pPr>
        <w:widowControl w:val="0"/>
        <w:tabs>
          <w:tab w:val="left" w:pos="130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7C6F" w:rsidRPr="00967C6F" w:rsidRDefault="00967C6F" w:rsidP="00967C6F">
      <w:pPr>
        <w:widowControl w:val="0"/>
        <w:numPr>
          <w:ilvl w:val="0"/>
          <w:numId w:val="1"/>
        </w:numPr>
        <w:tabs>
          <w:tab w:val="left" w:pos="1307"/>
        </w:tabs>
        <w:spacing w:after="0" w:line="317" w:lineRule="exac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967C6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>Серед</w:t>
      </w:r>
      <w:proofErr w:type="spellEnd"/>
      <w:r w:rsidRPr="00967C6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здобувачів</w:t>
      </w:r>
      <w:proofErr w:type="spellEnd"/>
      <w:r w:rsidRPr="00967C6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освіти</w:t>
      </w:r>
      <w:proofErr w:type="spellEnd"/>
      <w:r w:rsidRPr="00967C6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</w:p>
    <w:p w:rsidR="00967C6F" w:rsidRPr="00967C6F" w:rsidRDefault="00967C6F" w:rsidP="00967C6F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67C6F" w:rsidRPr="00967C6F" w:rsidRDefault="00967C6F" w:rsidP="00967C6F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7C6F">
        <w:rPr>
          <w:rFonts w:ascii="Times New Roman" w:hAnsi="Times New Roman" w:cs="Times New Roman"/>
          <w:sz w:val="28"/>
          <w:szCs w:val="28"/>
        </w:rPr>
        <w:t>1.Температурний скринінг дітей проводять безконтактним термометром при вході (початковий) у заклад.</w:t>
      </w:r>
    </w:p>
    <w:p w:rsidR="00967C6F" w:rsidRPr="00967C6F" w:rsidRDefault="00967C6F" w:rsidP="00967C6F">
      <w:pPr>
        <w:widowControl w:val="0"/>
        <w:tabs>
          <w:tab w:val="left" w:pos="16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6F">
        <w:rPr>
          <w:rFonts w:ascii="Times New Roman" w:hAnsi="Times New Roman" w:cs="Times New Roman"/>
          <w:sz w:val="28"/>
          <w:szCs w:val="28"/>
        </w:rPr>
        <w:t xml:space="preserve">      2.В разі виявлення ознак гострої респіраторної хвороби та/або температури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тіла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понад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37,2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°С,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за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відсутності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батьків,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 xml:space="preserve">дитину 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потрібно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тимчасово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 xml:space="preserve">ізолювати 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в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ізолятор,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невідкладно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інформувати батьків (інших законних представників) та приймається узгоджене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рішення</w:t>
      </w:r>
      <w:r w:rsidRPr="00967C6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щодо</w:t>
      </w:r>
      <w:r w:rsidRPr="00967C6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подальшої</w:t>
      </w:r>
      <w:r w:rsidRPr="00967C6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допомоги</w:t>
      </w:r>
      <w:r w:rsidRPr="00967C6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дитині.</w:t>
      </w:r>
    </w:p>
    <w:p w:rsidR="00967C6F" w:rsidRPr="00967C6F" w:rsidRDefault="00967C6F" w:rsidP="00967C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6F">
        <w:rPr>
          <w:rFonts w:ascii="Times New Roman" w:hAnsi="Times New Roman" w:cs="Times New Roman"/>
          <w:sz w:val="28"/>
          <w:szCs w:val="28"/>
        </w:rPr>
        <w:t xml:space="preserve">     3.При</w:t>
      </w:r>
      <w:r w:rsidRPr="00967C6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ізоляції  важливо</w:t>
      </w:r>
      <w:r w:rsidRPr="00967C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не</w:t>
      </w:r>
      <w:r w:rsidRPr="00967C6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допустити</w:t>
      </w:r>
      <w:r w:rsidRPr="00967C6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тривожних</w:t>
      </w:r>
      <w:r w:rsidRPr="00967C6F">
        <w:rPr>
          <w:rFonts w:ascii="Times New Roman" w:hAnsi="Times New Roman" w:cs="Times New Roman"/>
          <w:b/>
          <w:spacing w:val="78"/>
          <w:sz w:val="28"/>
          <w:szCs w:val="28"/>
        </w:rPr>
        <w:t xml:space="preserve"> </w:t>
      </w:r>
      <w:proofErr w:type="spellStart"/>
      <w:r w:rsidRPr="00967C6F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967C6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у</w:t>
      </w:r>
      <w:r w:rsidRPr="00967C6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дитини</w:t>
      </w:r>
      <w:r w:rsidRPr="00967C6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та враховувати її психологічний стан (залучати практичного психолога).</w:t>
      </w:r>
    </w:p>
    <w:p w:rsidR="00967C6F" w:rsidRPr="00967C6F" w:rsidRDefault="00967C6F" w:rsidP="00967C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6F">
        <w:rPr>
          <w:rFonts w:ascii="Times New Roman" w:hAnsi="Times New Roman" w:cs="Times New Roman"/>
          <w:sz w:val="28"/>
          <w:szCs w:val="28"/>
        </w:rPr>
        <w:t xml:space="preserve">     4.Після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вилучення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дитини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з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симптомами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інфекційної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хвороби</w:t>
      </w:r>
      <w:r w:rsidRPr="00967C6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в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приміщенні,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де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перебувала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така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дитина,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проводиться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провітрювання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поза</w:t>
      </w:r>
      <w:r w:rsidRPr="00967C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графіком</w:t>
      </w:r>
      <w:r w:rsidRPr="00967C6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та</w:t>
      </w:r>
      <w:r w:rsidRPr="00967C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дезінфекція</w:t>
      </w:r>
      <w:r w:rsidRPr="00967C6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proofErr w:type="spellStart"/>
      <w:r w:rsidRPr="00967C6F">
        <w:rPr>
          <w:rFonts w:ascii="Times New Roman" w:hAnsi="Times New Roman" w:cs="Times New Roman"/>
          <w:sz w:val="28"/>
          <w:szCs w:val="28"/>
        </w:rPr>
        <w:t>висококонтактних</w:t>
      </w:r>
      <w:proofErr w:type="spellEnd"/>
      <w:r w:rsidRPr="00967C6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67C6F">
        <w:rPr>
          <w:rFonts w:ascii="Times New Roman" w:hAnsi="Times New Roman" w:cs="Times New Roman"/>
          <w:sz w:val="28"/>
          <w:szCs w:val="28"/>
        </w:rPr>
        <w:t>поверхонь.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5.У разі підтвердження випадку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коронавірусної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хвороби </w:t>
      </w: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COVID</w:t>
      </w:r>
      <w:r w:rsidRPr="00967C6F">
        <w:rPr>
          <w:rFonts w:ascii="Times New Roman" w:eastAsia="Times New Roman" w:hAnsi="Times New Roman" w:cs="Times New Roman"/>
          <w:sz w:val="28"/>
          <w:szCs w:val="28"/>
          <w:lang w:eastAsia="ru-RU"/>
        </w:rPr>
        <w:t>-19 в одного з здобувачів освіти, всі інші діти відповідної групи визнаються такими, що потребують самоізоляції, та повинні вживати заходів, передбачених галузевими стандартами в сфері охорони здоров'я.</w:t>
      </w:r>
    </w:p>
    <w:p w:rsidR="00967C6F" w:rsidRPr="00967C6F" w:rsidRDefault="00967C6F" w:rsidP="00967C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C6F" w:rsidRPr="00967C6F" w:rsidRDefault="00967C6F" w:rsidP="00967C6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 працівників закладу освіти:</w:t>
      </w:r>
    </w:p>
    <w:p w:rsidR="00967C6F" w:rsidRPr="00967C6F" w:rsidRDefault="00967C6F" w:rsidP="00967C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67C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1.Допуск до роботи персоналу закладів освіти здійснюється за умови використання засобів індивідуального захисту, зокрема респіраторів або захисних масок, що закривають ніс та рот, у тому числі виготовлених самостійно. 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2.У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температурою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37,2° C та/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ознаками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такий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допускається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рекомендаціями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звернутись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3.При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появі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ідвищеної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температури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понад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37,2° C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респіраторного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вдома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співробітник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повідомляє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безпосереднього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не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виходить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роботу,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одночасно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звертаючись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допомогою</w:t>
      </w:r>
      <w:proofErr w:type="spellEnd"/>
      <w:r w:rsidRPr="00967C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>ЗАТВЕРДЖУЮ: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до наказу ЗДО№5 </w:t>
      </w:r>
    </w:p>
    <w:p w:rsidR="00967C6F" w:rsidRPr="00967C6F" w:rsidRDefault="00967C6F" w:rsidP="00967C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C6F">
        <w:rPr>
          <w:rFonts w:ascii="Times New Roman" w:hAnsi="Times New Roman" w:cs="Times New Roman"/>
          <w:sz w:val="24"/>
          <w:szCs w:val="24"/>
        </w:rPr>
        <w:t xml:space="preserve">№ </w:t>
      </w:r>
      <w:r w:rsidRPr="00967C6F">
        <w:rPr>
          <w:rFonts w:ascii="Times New Roman" w:hAnsi="Times New Roman" w:cs="Times New Roman"/>
          <w:sz w:val="24"/>
          <w:szCs w:val="24"/>
          <w:lang w:val="ru-RU"/>
        </w:rPr>
        <w:t xml:space="preserve">142 </w:t>
      </w:r>
      <w:r w:rsidRPr="00967C6F">
        <w:rPr>
          <w:rFonts w:ascii="Times New Roman" w:hAnsi="Times New Roman" w:cs="Times New Roman"/>
          <w:sz w:val="24"/>
          <w:szCs w:val="24"/>
        </w:rPr>
        <w:t>від 24.09.2021р.</w:t>
      </w:r>
    </w:p>
    <w:p w:rsidR="00967C6F" w:rsidRPr="00967C6F" w:rsidRDefault="00967C6F" w:rsidP="00967C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C6F" w:rsidRPr="00967C6F" w:rsidRDefault="00967C6F" w:rsidP="00967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C6F" w:rsidRPr="00967C6F" w:rsidRDefault="00967C6F" w:rsidP="00967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C6F" w:rsidRPr="00967C6F" w:rsidRDefault="00967C6F" w:rsidP="0096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967C6F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ГРАФІК</w:t>
      </w:r>
    </w:p>
    <w:p w:rsidR="00967C6F" w:rsidRPr="00967C6F" w:rsidRDefault="00967C6F" w:rsidP="0096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67C6F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виходу вихованців груп на прогулянки</w:t>
      </w:r>
    </w:p>
    <w:p w:rsidR="00967C6F" w:rsidRPr="00967C6F" w:rsidRDefault="00967C6F" w:rsidP="00967C6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67C6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ЗДО № 5</w:t>
      </w:r>
    </w:p>
    <w:tbl>
      <w:tblPr>
        <w:tblpPr w:leftFromText="180" w:rightFromText="180" w:vertAnchor="text" w:horzAnchor="margin" w:tblpXSpec="center" w:tblpY="502"/>
        <w:tblW w:w="103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067"/>
        <w:gridCol w:w="966"/>
        <w:gridCol w:w="829"/>
        <w:gridCol w:w="966"/>
        <w:gridCol w:w="1104"/>
        <w:gridCol w:w="966"/>
        <w:gridCol w:w="1104"/>
        <w:gridCol w:w="967"/>
        <w:gridCol w:w="966"/>
      </w:tblGrid>
      <w:tr w:rsidR="00967C6F" w:rsidRPr="00967C6F" w:rsidTr="007A33BC">
        <w:trPr>
          <w:trHeight w:val="163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Режимні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  процеси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9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«Зайченятко»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раннього віку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8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«Малятко»</w:t>
            </w:r>
          </w:p>
          <w:p w:rsidR="00967C6F" w:rsidRPr="00967C6F" w:rsidRDefault="00967C6F" w:rsidP="00967C6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ранньго</w:t>
            </w:r>
            <w:proofErr w:type="spellEnd"/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віку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1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</w:t>
            </w:r>
            <w:proofErr w:type="spellStart"/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Сонеч</w:t>
            </w:r>
            <w:proofErr w:type="spellEnd"/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proofErr w:type="spellStart"/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ко»молодшого</w:t>
            </w:r>
            <w:proofErr w:type="spellEnd"/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віку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2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«Калинка»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молодшого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віку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Група 7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«Рушничок»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середнього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віку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6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«Вишиванка»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середнього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віку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3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«Метелик»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старшого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віку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4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«Віночок»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старшого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віку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Група 5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«Казка»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старшого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віку</w:t>
            </w:r>
          </w:p>
        </w:tc>
      </w:tr>
      <w:tr w:rsidR="00967C6F" w:rsidRPr="00967C6F" w:rsidTr="007A33BC">
        <w:trPr>
          <w:trHeight w:val="28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Вхід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Вхід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№ 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вхід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 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Вхід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вхід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 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вхід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 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вхід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 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Вхід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№ 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вхід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 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вхід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№ 3</w:t>
            </w:r>
          </w:p>
        </w:tc>
      </w:tr>
      <w:tr w:rsidR="00967C6F" w:rsidRPr="00967C6F" w:rsidTr="007A33BC">
        <w:trPr>
          <w:trHeight w:val="1135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Вихід на І прогулянку із збереженням дистанції з іншими групами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09:35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09:35</w:t>
            </w:r>
          </w:p>
        </w:tc>
      </w:tr>
      <w:tr w:rsidR="00967C6F" w:rsidRPr="00967C6F" w:rsidTr="007A33BC">
        <w:trPr>
          <w:trHeight w:val="131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Повернення з І </w:t>
            </w:r>
            <w:proofErr w:type="spellStart"/>
            <w:r w:rsidRPr="00967C6F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пргулянки</w:t>
            </w:r>
            <w:proofErr w:type="spellEnd"/>
            <w:r w:rsidRPr="00967C6F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із збереженням дистанції з іншими групами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11:55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11:55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12:00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12:00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12:15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12:15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</w:t>
            </w: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uk-UA"/>
              </w:rPr>
              <w:t>2</w:t>
            </w: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:15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12:25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12:25</w:t>
            </w:r>
          </w:p>
        </w:tc>
      </w:tr>
      <w:tr w:rsidR="00967C6F" w:rsidRPr="00967C6F" w:rsidTr="007A33BC">
        <w:trPr>
          <w:trHeight w:val="4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          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Вихід на ІІ прогулянку із збереженням дистанції з іншими групами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16:25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16:25</w:t>
            </w: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16:45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:rsidR="00967C6F" w:rsidRPr="00967C6F" w:rsidRDefault="00967C6F" w:rsidP="00967C6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67C6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16:45</w:t>
            </w:r>
          </w:p>
        </w:tc>
      </w:tr>
    </w:tbl>
    <w:p w:rsidR="00967C6F" w:rsidRPr="00967C6F" w:rsidRDefault="00967C6F" w:rsidP="00967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967C6F" w:rsidRPr="00967C6F" w:rsidRDefault="00967C6F" w:rsidP="00967C6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967C6F" w:rsidRPr="00967C6F" w:rsidRDefault="00967C6F" w:rsidP="00967C6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20140" w:rsidRPr="00967C6F" w:rsidRDefault="00F20140"/>
    <w:sectPr w:rsidR="00F20140" w:rsidRPr="00967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7787"/>
    <w:multiLevelType w:val="hybridMultilevel"/>
    <w:tmpl w:val="0290CF12"/>
    <w:lvl w:ilvl="0" w:tplc="4E56A0F4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12"/>
    <w:rsid w:val="005B4E12"/>
    <w:rsid w:val="00967C6F"/>
    <w:rsid w:val="00F2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9228</Words>
  <Characters>5260</Characters>
  <Application>Microsoft Office Word</Application>
  <DocSecurity>0</DocSecurity>
  <Lines>43</Lines>
  <Paragraphs>28</Paragraphs>
  <ScaleCrop>false</ScaleCrop>
  <Company>SPecialiST RePack</Company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Садік</dc:creator>
  <cp:keywords/>
  <dc:description/>
  <cp:lastModifiedBy>Садік</cp:lastModifiedBy>
  <cp:revision>2</cp:revision>
  <dcterms:created xsi:type="dcterms:W3CDTF">2021-12-16T09:55:00Z</dcterms:created>
  <dcterms:modified xsi:type="dcterms:W3CDTF">2021-12-16T09:57:00Z</dcterms:modified>
</cp:coreProperties>
</file>