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ind w:left="0" w:hanging="0"/>
        <w:outlineLvl w:val="1"/>
        <w:rPr>
          <w:rFonts w:ascii="Times New Roman" w:hAnsi="Times New Roman" w:eastAsia="Times New Roman" w:cs="Times New Roman"/>
          <w:b/>
          <w:b/>
          <w:bCs/>
          <w:sz w:val="36"/>
          <w:szCs w:val="36"/>
          <w:lang w:eastAsia="uk-UA"/>
        </w:rPr>
      </w:pPr>
      <w:r>
        <w:rPr>
          <w:rFonts w:eastAsia="Times New Roman" w:cs="Times New Roman" w:ascii="Times New Roman" w:hAnsi="Times New Roman"/>
          <w:b/>
          <w:bCs/>
          <w:sz w:val="36"/>
          <w:szCs w:val="36"/>
          <w:lang w:eastAsia="uk-UA"/>
        </w:rPr>
        <w:t>Порядок реагування на доведені випадки булінгу (цькування) в закладі освіти та відповідальність осіб, причетних до булінгу (цькування)</w:t>
      </w:r>
    </w:p>
    <w:p>
      <w:pPr>
        <w:pStyle w:val="Normal"/>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b/>
          <w:bCs/>
          <w:color w:val="000000"/>
          <w:sz w:val="28"/>
          <w:szCs w:val="28"/>
          <w:lang w:eastAsia="uk-UA"/>
        </w:rPr>
        <w:t xml:space="preserve"> </w:t>
      </w:r>
      <w:r>
        <w:rPr>
          <w:rFonts w:eastAsia="Times New Roman" w:cs="Times New Roman" w:ascii="Times New Roman" w:hAnsi="Times New Roman"/>
          <w:b/>
          <w:bCs/>
          <w:color w:val="000000"/>
          <w:sz w:val="28"/>
          <w:szCs w:val="28"/>
          <w:lang w:eastAsia="uk-UA"/>
        </w:rPr>
        <w:t>Порядок роботи комісії</w:t>
      </w:r>
    </w:p>
    <w:p>
      <w:pPr>
        <w:pStyle w:val="Normal"/>
        <w:numPr>
          <w:ilvl w:val="0"/>
          <w:numId w:val="1"/>
        </w:numPr>
        <w:spacing w:lineRule="auto" w:line="240" w:beforeAutospacing="1"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Метою діяльності комісії є припинення випадку булінгу в закладі освіти; відновлення та нормалізація стосунків, створення сприятливих умов для подальшого здобуття освіти; оцінка потреб сторін булінгу.</w:t>
      </w:r>
    </w:p>
    <w:p>
      <w:pPr>
        <w:pStyle w:val="Normal"/>
        <w:numPr>
          <w:ilvl w:val="0"/>
          <w:numId w:val="1"/>
        </w:numPr>
        <w:spacing w:lineRule="auto" w:line="240" w:before="0"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Діяльність комісії здійснюється на принципах: законності, верховенства права, поваги та дотримання прав і свобод людини, неупередженого ставлення до сторін булінгу (цькування), відкритості та прозорості, конфіденційності та захисту персональних даних, невідкладного реагування, комплексного підходу до розгляду випадку булінгу (цькування), нетерпимості до булінгу (цькування) та визначення його суспільної небезпеки.</w:t>
      </w:r>
    </w:p>
    <w:p>
      <w:pPr>
        <w:pStyle w:val="Normal"/>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Комісія у своїй діяльності забезпечує дотримання вимог Законів України «Про інформацію», «Про захист персональних даних».</w:t>
      </w:r>
    </w:p>
    <w:p>
      <w:pPr>
        <w:pStyle w:val="Normal"/>
        <w:numPr>
          <w:ilvl w:val="0"/>
          <w:numId w:val="2"/>
        </w:numPr>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i/>
          <w:iCs/>
          <w:color w:val="000000"/>
          <w:sz w:val="28"/>
          <w:szCs w:val="28"/>
          <w:lang w:eastAsia="uk-UA"/>
        </w:rPr>
        <w:t>До завдань комісії належать:</w:t>
      </w:r>
    </w:p>
    <w:p>
      <w:pPr>
        <w:pStyle w:val="Normal"/>
        <w:numPr>
          <w:ilvl w:val="0"/>
          <w:numId w:val="3"/>
        </w:numPr>
        <w:spacing w:lineRule="auto" w:line="240" w:beforeAutospacing="1"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збір інформації щодо обставин випадку булінгу;</w:t>
      </w:r>
    </w:p>
    <w:p>
      <w:pPr>
        <w:pStyle w:val="Normal"/>
        <w:numPr>
          <w:ilvl w:val="0"/>
          <w:numId w:val="3"/>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розгляд та аналіз зібраних матеріалів;</w:t>
      </w:r>
    </w:p>
    <w:p>
      <w:pPr>
        <w:pStyle w:val="Normal"/>
        <w:numPr>
          <w:ilvl w:val="0"/>
          <w:numId w:val="3"/>
        </w:numPr>
        <w:spacing w:lineRule="auto" w:line="240" w:before="0"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у разі прийняття рішення комісією про наявність обставин, що обґрунтовують інформацію, зазначену у заяві, до завдань комісії також належать: оцінка потреб сторін булінгу (цькування) в отриманні соціальних та психолого-педагогічних послуг та забезпечення таких послуг, в тому числі із залученням фахівців служби у справах дітей та центру соціальних служб для сім’ї, дітей та молоді; визначення причин булінгу (цькування) та необхідних заходів для усунення таких причин; визначення заходів виховного впливу щодо сторін булінгу; моніторинг ефективності соціальних та психолого-педагогічних послуг, заходів з усунення причин булінгу, заходів виховного впливу та корегування; надання рекомендацій для педагогічних працівників закладу освіти</w:t>
      </w:r>
    </w:p>
    <w:p>
      <w:pPr>
        <w:pStyle w:val="Normal"/>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надання рекомендацій для педагогічних працівників закладу освіти щодо доцільних методів здійснення освітнього процесу та інших заходів з малолітніми чи неповнолітніми сторонами булінгу (цькування), їхніми батьками або іншими законними представниками; надання рекомендацій для батьків або інших законних представників малолітньої чи неповнолітньої особи, яка стала стороною булінгу (цькування).</w:t>
      </w:r>
    </w:p>
    <w:p>
      <w:pPr>
        <w:pStyle w:val="Normal"/>
        <w:numPr>
          <w:ilvl w:val="0"/>
          <w:numId w:val="4"/>
        </w:numPr>
        <w:spacing w:lineRule="auto" w:line="240" w:beforeAutospacing="1"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Формою роботи комісії є засідання, які проводяться у разі потреби. Дату, час і місце проведення засідання комісії визначає її голова.</w:t>
      </w:r>
    </w:p>
    <w:p>
      <w:pPr>
        <w:pStyle w:val="Normal"/>
        <w:numPr>
          <w:ilvl w:val="0"/>
          <w:numId w:val="4"/>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Засідання комісії є правоможним у разі участі в ньому не менше як двох третин її складу.</w:t>
      </w:r>
    </w:p>
    <w:p>
      <w:pPr>
        <w:pStyle w:val="Normal"/>
        <w:numPr>
          <w:ilvl w:val="0"/>
          <w:numId w:val="4"/>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Секретар комісії не пізніше вісімнадцятої години дня, що передує дню засідання комісії, повідомляє членів комісії, а також заявника та інших заінтересованих осіб про порядок денний запланованого засідання, дату, час і місце його проведення, а також надає/надсилає членам комісії та зазначеним особам необхідні матеріали в електронному або паперовому вигляді.</w:t>
      </w:r>
    </w:p>
    <w:p>
      <w:pPr>
        <w:pStyle w:val="Normal"/>
        <w:numPr>
          <w:ilvl w:val="0"/>
          <w:numId w:val="4"/>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Рішення з питань, що розглядаються на засіданні комісії, приймаються шляхом відкритого голосування більшістю голосів від затвердженого складу комісії. У разі рівного розподілу голосів голос голови комісії є вирішальним.</w:t>
      </w:r>
    </w:p>
    <w:p>
      <w:pPr>
        <w:pStyle w:val="Normal"/>
        <w:numPr>
          <w:ilvl w:val="0"/>
          <w:numId w:val="4"/>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Під час проведення засідання комісії секретар комісії веде протокол засідання комісії за формою згідно з додатком до цього Порядку, що оформлюється наказом керівника закладу освіти.</w:t>
      </w:r>
    </w:p>
    <w:p>
      <w:pPr>
        <w:pStyle w:val="Normal"/>
        <w:numPr>
          <w:ilvl w:val="0"/>
          <w:numId w:val="4"/>
        </w:numPr>
        <w:spacing w:lineRule="auto" w:line="240" w:before="0"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Особи, залучені до участі в засіданні комісії, зобов’язані дотримуватись принципів діяльності комісії, зокрема не розголошувати стороннім особам відомості, що стали їм відомі у зв’язку з участю у роботі комісії, і не використовувати їх у своїх інтересах або інтересах третіх осіб.</w:t>
      </w:r>
    </w:p>
    <w:p>
      <w:pPr>
        <w:pStyle w:val="Normal"/>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Особи, залучені до участі в засіданні комісії, під час засідання комісії мають право:</w:t>
      </w:r>
    </w:p>
    <w:p>
      <w:pPr>
        <w:pStyle w:val="Normal"/>
        <w:numPr>
          <w:ilvl w:val="0"/>
          <w:numId w:val="5"/>
        </w:numPr>
        <w:spacing w:lineRule="auto" w:line="240" w:beforeAutospacing="1"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ознайомлюватися з матеріалами, поданими на розгляд комісії;</w:t>
      </w:r>
    </w:p>
    <w:p>
      <w:pPr>
        <w:pStyle w:val="Normal"/>
        <w:numPr>
          <w:ilvl w:val="0"/>
          <w:numId w:val="5"/>
        </w:numPr>
        <w:spacing w:lineRule="auto" w:line="240" w:before="0"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ставити питання по суті розгляду;</w:t>
      </w:r>
    </w:p>
    <w:p>
      <w:pPr>
        <w:pStyle w:val="Normal"/>
        <w:numPr>
          <w:ilvl w:val="0"/>
          <w:numId w:val="5"/>
        </w:numPr>
        <w:spacing w:lineRule="auto" w:line="240" w:before="0"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подавати пропозиції, висловлювати власну думку з питань, що розглядаються.</w:t>
      </w:r>
    </w:p>
    <w:p>
      <w:pPr>
        <w:pStyle w:val="Normal"/>
        <w:numPr>
          <w:ilvl w:val="0"/>
          <w:numId w:val="6"/>
        </w:numPr>
        <w:spacing w:lineRule="auto" w:line="240" w:beforeAutospacing="1" w:after="0"/>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Голова комісії доводить до відома учасників освітнього процесу рішення комісії згідно з протоколом засідання та здійснює контроль за їхнім виконанням.</w:t>
      </w:r>
    </w:p>
    <w:p>
      <w:pPr>
        <w:pStyle w:val="Normal"/>
        <w:numPr>
          <w:ilvl w:val="0"/>
          <w:numId w:val="6"/>
        </w:numPr>
        <w:spacing w:lineRule="auto" w:line="240" w:before="0"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Строк розгляду комісією заяви або повідомлення про випадок булінгу (цькування) в закладі освіти та виконання нею своїх завдань не має перевищувати десяти робочих днів із дня отримання заяви або повідомлення керівником закладу освіти.</w:t>
      </w:r>
    </w:p>
    <w:p>
      <w:pPr>
        <w:pStyle w:val="Normal"/>
        <w:spacing w:lineRule="auto" w:line="240" w:beforeAutospacing="1" w:afterAutospacing="1"/>
        <w:rPr>
          <w:rFonts w:ascii="Times New Roman" w:hAnsi="Times New Roman" w:eastAsia="Times New Roman" w:cs="Times New Roman"/>
          <w:sz w:val="24"/>
          <w:szCs w:val="24"/>
          <w:lang w:eastAsia="uk-UA"/>
        </w:rPr>
      </w:pPr>
      <w:r>
        <w:rPr>
          <w:rFonts w:eastAsia="Times New Roman" w:cs="Times New Roman" w:ascii="Times New Roman" w:hAnsi="Times New Roman"/>
          <w:color w:val="000000"/>
          <w:sz w:val="28"/>
          <w:szCs w:val="28"/>
          <w:lang w:eastAsia="uk-UA"/>
        </w:rPr>
        <w:t>В</w:t>
      </w:r>
      <w:bookmarkStart w:id="0" w:name="_GoBack"/>
      <w:bookmarkEnd w:id="0"/>
      <w:r>
        <w:rPr>
          <w:rFonts w:eastAsia="Times New Roman" w:cs="Times New Roman" w:ascii="Times New Roman" w:hAnsi="Times New Roman"/>
          <w:color w:val="000000"/>
          <w:sz w:val="28"/>
          <w:szCs w:val="28"/>
          <w:lang w:eastAsia="uk-UA"/>
        </w:rPr>
        <w:t xml:space="preserve">ідповідно до наказу Міністерства внутрішніх справ України «Про затвердження Змін до Інструкції з організації  роботи підрозділів ювенальної превенції Національної поліції України» від 25.06.2020 № 488, зареєстрованого в Міністерстві юстиції України 03 серпня 2020 року  № 738/35021, </w:t>
      </w:r>
      <w:r>
        <w:rPr>
          <w:rFonts w:eastAsia="Times New Roman" w:cs="Times New Roman" w:ascii="Times New Roman" w:hAnsi="Times New Roman"/>
          <w:b/>
          <w:bCs/>
          <w:color w:val="000000"/>
          <w:sz w:val="28"/>
          <w:szCs w:val="28"/>
          <w:lang w:eastAsia="uk-UA"/>
        </w:rPr>
        <w:t>дитина, яка вчинила булінг (цькування) учасника освітнього процесу підлягає взяттю на профілактичний облік з метою здійснення заходів індивідуальної профілактики поліцейськими підрозділами ювенальної превенції.</w:t>
      </w:r>
    </w:p>
    <w:p>
      <w:pPr>
        <w:pStyle w:val="Normal"/>
        <w:widowControl/>
        <w:bidi w:val="0"/>
        <w:spacing w:lineRule="auto" w:line="259" w:before="0" w:after="160"/>
        <w:jc w:val="left"/>
        <w:rPr/>
      </w:pPr>
      <w:r>
        <w:rPr/>
      </w:r>
    </w:p>
    <w:sectPr>
      <w:type w:val="nextPage"/>
      <w:pgSz w:w="11906" w:h="16838"/>
      <w:pgMar w:left="1417" w:right="850" w:header="0" w:top="850" w:footer="0" w:bottom="85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paragraph" w:styleId="2">
    <w:name w:val="Heading 2"/>
    <w:basedOn w:val="Normal"/>
    <w:link w:val="20"/>
    <w:uiPriority w:val="9"/>
    <w:qFormat/>
    <w:rsid w:val="00503087"/>
    <w:pPr>
      <w:spacing w:lineRule="auto" w:line="240" w:beforeAutospacing="1" w:afterAutospacing="1"/>
      <w:outlineLvl w:val="1"/>
    </w:pPr>
    <w:rPr>
      <w:rFonts w:ascii="Times New Roman" w:hAnsi="Times New Roman" w:eastAsia="Times New Roman" w:cs="Times New Roman"/>
      <w:b/>
      <w:bCs/>
      <w:sz w:val="36"/>
      <w:szCs w:val="36"/>
      <w:lang w:eastAsia="uk-UA"/>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
    <w:qFormat/>
    <w:rsid w:val="00503087"/>
    <w:rPr>
      <w:rFonts w:ascii="Times New Roman" w:hAnsi="Times New Roman" w:eastAsia="Times New Roman" w:cs="Times New Roman"/>
      <w:b/>
      <w:bCs/>
      <w:sz w:val="36"/>
      <w:szCs w:val="36"/>
      <w:lang w:eastAsia="uk-UA"/>
    </w:rPr>
  </w:style>
  <w:style w:type="character" w:styleId="Strong">
    <w:name w:val="Strong"/>
    <w:basedOn w:val="DefaultParagraphFont"/>
    <w:uiPriority w:val="22"/>
    <w:qFormat/>
    <w:rsid w:val="00503087"/>
    <w:rPr>
      <w:b/>
      <w:bCs/>
    </w:rPr>
  </w:style>
  <w:style w:type="character" w:styleId="Style13">
    <w:name w:val="Виділення"/>
    <w:basedOn w:val="DefaultParagraphFont"/>
    <w:uiPriority w:val="20"/>
    <w:qFormat/>
    <w:rsid w:val="00503087"/>
    <w:rPr>
      <w:i/>
      <w:iCs/>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Покажчик"/>
    <w:basedOn w:val="Normal"/>
    <w:qFormat/>
    <w:pPr>
      <w:suppressLineNumbers/>
    </w:pPr>
    <w:rPr>
      <w:rFonts w:cs="Lucida Sans"/>
    </w:rPr>
  </w:style>
  <w:style w:type="paragraph" w:styleId="NormalWeb">
    <w:name w:val="Normal (Web)"/>
    <w:basedOn w:val="Normal"/>
    <w:uiPriority w:val="99"/>
    <w:semiHidden/>
    <w:unhideWhenUsed/>
    <w:qFormat/>
    <w:rsid w:val="00503087"/>
    <w:pPr>
      <w:spacing w:lineRule="auto" w:line="240" w:beforeAutospacing="1" w:afterAutospacing="1"/>
    </w:pPr>
    <w:rPr>
      <w:rFonts w:ascii="Times New Roman" w:hAnsi="Times New Roman" w:eastAsia="Times New Roman" w:cs="Times New Roman"/>
      <w:sz w:val="24"/>
      <w:szCs w:val="24"/>
      <w:lang w:eastAsia="uk-U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LibreOffice/7.0.4.2$Windows_X86_64 LibreOffice_project/dcf040e67528d9187c66b2379df5ea4407429775</Application>
  <AppVersion>15.0000</AppVersion>
  <Pages>2</Pages>
  <Words>602</Words>
  <Characters>3983</Characters>
  <CharactersWithSpaces>4548</CharactersWithSpaces>
  <Paragraphs>23</Paragraphs>
  <Company>diakov.net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2022-08-20T08:42:00Z</dcterms:created>
  <dc:creator>RePack by Diakov</dc:creator>
  <dc:description/>
  <dc:language>uk-UA</dc:language>
  <cp:lastModifiedBy/>
  <dcterms:modified xsi:type="dcterms:W3CDTF">2022-08-20T23:54:02Z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