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41" w:rsidRPr="009B2241" w:rsidRDefault="009B2241" w:rsidP="009B2241">
      <w:pPr>
        <w:spacing w:after="0" w:line="390" w:lineRule="atLeast"/>
        <w:jc w:val="center"/>
        <w:outlineLvl w:val="3"/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</w:pP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Роз'яснення</w:t>
      </w:r>
      <w:proofErr w:type="spellEnd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щодо</w:t>
      </w:r>
      <w:proofErr w:type="spellEnd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правових</w:t>
      </w:r>
      <w:proofErr w:type="spellEnd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аспектів</w:t>
      </w:r>
      <w:proofErr w:type="spellEnd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благодійної</w:t>
      </w:r>
      <w:proofErr w:type="spellEnd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 xml:space="preserve"> та </w:t>
      </w: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волонтерської</w:t>
      </w:r>
      <w:proofErr w:type="spellEnd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  <w:t>діяльності</w:t>
      </w:r>
      <w:proofErr w:type="spellEnd"/>
    </w:p>
    <w:p w:rsidR="009B2241" w:rsidRPr="009B2241" w:rsidRDefault="009B2241" w:rsidP="009B2241">
      <w:pPr>
        <w:spacing w:after="0" w:line="390" w:lineRule="atLeast"/>
        <w:jc w:val="center"/>
        <w:outlineLvl w:val="3"/>
        <w:rPr>
          <w:rFonts w:ascii="e-ukraine" w:eastAsia="Times New Roman" w:hAnsi="e-ukraine" w:cs="Times New Roman"/>
          <w:b/>
          <w:color w:val="000000"/>
          <w:sz w:val="33"/>
          <w:szCs w:val="27"/>
          <w:lang w:val="ru-RU" w:eastAsia="ru-RU"/>
        </w:rPr>
      </w:pPr>
    </w:p>
    <w:p w:rsidR="009B2241" w:rsidRPr="009B2241" w:rsidRDefault="009B2241" w:rsidP="009B2241">
      <w:pPr>
        <w:spacing w:after="0" w:line="390" w:lineRule="atLeast"/>
        <w:outlineLvl w:val="3"/>
        <w:rPr>
          <w:rFonts w:ascii="e-ukraine" w:eastAsia="Times New Roman" w:hAnsi="e-ukraine" w:cs="Times New Roman"/>
          <w:color w:val="000000"/>
          <w:sz w:val="27"/>
          <w:szCs w:val="27"/>
          <w:lang w:val="ru-RU" w:eastAsia="ru-RU"/>
        </w:rPr>
      </w:pPr>
    </w:p>
    <w:p w:rsidR="009B2241" w:rsidRPr="009B2241" w:rsidRDefault="009B2241" w:rsidP="009B2241">
      <w:pPr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224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54A3ECC" wp14:editId="76ADC108">
            <wp:extent cx="6841490" cy="3033657"/>
            <wp:effectExtent l="0" t="0" r="0" b="0"/>
            <wp:docPr id="1" name="Рисунок 1" descr="52ef7676-34f8-4d8a-b65a-502794b36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ef7676-34f8-4d8a-b65a-502794b3639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55" cy="303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41" w:rsidRDefault="009B2241" w:rsidP="009B2241">
      <w:pPr>
        <w:spacing w:before="300" w:after="300" w:line="360" w:lineRule="atLeast"/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</w:pPr>
      <w:proofErr w:type="gram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У межах</w:t>
      </w:r>
      <w:proofErr w:type="gram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роз’яснювальної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роботи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спрямованої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запобігання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протидію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шахрайству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іншим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зловживанням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сфері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благодійної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волонтерської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надання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пільг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цій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сфері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Міністерство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внутрішніх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справ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України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спільно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Національною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поліцією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України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Міністерством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соціальної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політики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України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розробило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роз’яснювальні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матеріали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оприлюднило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офіційному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вебсайті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 МВС за </w:t>
      </w:r>
      <w:proofErr w:type="spellStart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посиланням</w:t>
      </w:r>
      <w:proofErr w:type="spellEnd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9B2241" w:rsidRPr="009B2241" w:rsidRDefault="009B2241" w:rsidP="009B2241">
      <w:pPr>
        <w:spacing w:before="300" w:after="300" w:line="360" w:lineRule="atLeast"/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9B2241"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https://mvs.gov.ua/public/nacionalnastrategiia-spriiannia-rozvitku-gromadianskogo-suspilstva-v-ukrayini-na-2021-2026- roki/rekomendaciyi-shhodo-zapobigannia-viniknenniu-peredumov-ucinenniapravoporusen-u-sferi-blagodiinoy</w:t>
      </w:r>
      <w:r>
        <w:rPr>
          <w:rFonts w:ascii="e-ukraine" w:eastAsia="Times New Roman" w:hAnsi="e-ukraine" w:cs="Times New Roman"/>
          <w:color w:val="000000"/>
          <w:sz w:val="24"/>
          <w:szCs w:val="24"/>
          <w:lang w:val="ru-RU" w:eastAsia="ru-RU"/>
        </w:rPr>
        <w:t>i-ta-volonterskoyi-diialnosti-1</w:t>
      </w:r>
    </w:p>
    <w:p w:rsidR="00C723BD" w:rsidRPr="009B2241" w:rsidRDefault="00C723BD">
      <w:pPr>
        <w:rPr>
          <w:lang w:val="ru-RU"/>
        </w:rPr>
      </w:pPr>
    </w:p>
    <w:sectPr w:rsidR="00C723BD" w:rsidRPr="009B2241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41"/>
    <w:rsid w:val="00765133"/>
    <w:rsid w:val="009B2241"/>
    <w:rsid w:val="00C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D0C5"/>
  <w15:chartTrackingRefBased/>
  <w15:docId w15:val="{F49998C5-A213-4245-A488-CCC5123C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2025-01-23T11:27:00Z</dcterms:created>
  <dcterms:modified xsi:type="dcterms:W3CDTF">2025-01-23T11:28:00Z</dcterms:modified>
</cp:coreProperties>
</file>