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F1" w:rsidRDefault="00DE491E" w:rsidP="00B224DE">
      <w:pPr>
        <w:pStyle w:val="a4"/>
        <w:ind w:left="10773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ЗАТВЕРДЖЕНО</w:t>
      </w:r>
    </w:p>
    <w:p w:rsidR="00B224DE" w:rsidRPr="00DE491E" w:rsidRDefault="00B224DE" w:rsidP="00B224DE">
      <w:pPr>
        <w:pStyle w:val="a4"/>
        <w:ind w:left="10773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DE491E" w:rsidRDefault="00DE491E" w:rsidP="00B224DE">
      <w:pPr>
        <w:pStyle w:val="a4"/>
        <w:ind w:left="10773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п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ротокол засідання</w:t>
      </w:r>
    </w:p>
    <w:p w:rsidR="00DE491E" w:rsidRPr="00DE491E" w:rsidRDefault="00DE491E" w:rsidP="00B224DE">
      <w:pPr>
        <w:pStyle w:val="a4"/>
        <w:ind w:left="10773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педагогічної ради ЗДО </w:t>
      </w:r>
      <w:r w:rsidR="00B224DE">
        <w:rPr>
          <w:rFonts w:ascii="Times New Roman" w:hAnsi="Times New Roman" w:cs="Times New Roman"/>
          <w:sz w:val="26"/>
          <w:szCs w:val="26"/>
          <w:lang w:val="uk-UA" w:eastAsia="ru-RU"/>
        </w:rPr>
        <w:t>№ 13</w:t>
      </w:r>
    </w:p>
    <w:p w:rsidR="00DE491E" w:rsidRPr="00DE491E" w:rsidRDefault="00B224DE" w:rsidP="00B224DE">
      <w:pPr>
        <w:pStyle w:val="a4"/>
        <w:ind w:left="10773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24</w:t>
      </w:r>
      <w:r w:rsidR="00DE491E">
        <w:rPr>
          <w:rFonts w:ascii="Times New Roman" w:hAnsi="Times New Roman" w:cs="Times New Roman"/>
          <w:sz w:val="26"/>
          <w:szCs w:val="26"/>
          <w:lang w:val="uk-UA" w:eastAsia="ru-RU"/>
        </w:rPr>
        <w:t>.08.202</w:t>
      </w:r>
      <w:r w:rsidR="00A90DFA">
        <w:rPr>
          <w:rFonts w:ascii="Times New Roman" w:hAnsi="Times New Roman" w:cs="Times New Roman"/>
          <w:sz w:val="26"/>
          <w:szCs w:val="26"/>
          <w:lang w:val="uk-UA" w:eastAsia="ru-RU"/>
        </w:rPr>
        <w:t>3</w:t>
      </w:r>
      <w:r w:rsidR="00DE491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№ 1</w:t>
      </w: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eastAsia="ru-RU"/>
        </w:rPr>
        <w:t>C</w:t>
      </w:r>
      <w:proofErr w:type="spellStart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амооцінювання</w:t>
      </w:r>
      <w:proofErr w:type="spellEnd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освітніх і управлінських процесів</w:t>
      </w:r>
    </w:p>
    <w:p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закладу дошкільної освіти №</w:t>
      </w:r>
      <w:r w:rsidR="00DC2698"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</w:t>
      </w:r>
      <w:r w:rsidR="00B224DE">
        <w:rPr>
          <w:rFonts w:ascii="Times New Roman" w:hAnsi="Times New Roman" w:cs="Times New Roman"/>
          <w:b/>
          <w:sz w:val="44"/>
          <w:szCs w:val="44"/>
          <w:lang w:val="uk-UA" w:eastAsia="ru-RU"/>
        </w:rPr>
        <w:t>13</w:t>
      </w:r>
    </w:p>
    <w:p w:rsidR="00DE491E" w:rsidRPr="002D3458" w:rsidRDefault="00DE491E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 w:rsidR="00A90DFA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напрям оцінювання</w:t>
      </w:r>
    </w:p>
    <w:p w:rsidR="00886E51" w:rsidRPr="002D3458" w:rsidRDefault="00DE491E" w:rsidP="00721C56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"</w:t>
      </w:r>
      <w:r w:rsidR="00721C56">
        <w:rPr>
          <w:rFonts w:ascii="Times New Roman" w:hAnsi="Times New Roman" w:cs="Times New Roman"/>
          <w:b/>
          <w:sz w:val="44"/>
          <w:szCs w:val="44"/>
          <w:lang w:val="uk-UA" w:eastAsia="ru-RU"/>
        </w:rPr>
        <w:t>ОСВІТНЯ ДІЯЛЬНІСЬ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"</w:t>
      </w:r>
    </w:p>
    <w:p w:rsidR="002D3458" w:rsidRP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B224DE">
      <w:pPr>
        <w:pStyle w:val="a4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Pr="001F390C" w:rsidRDefault="002D3458" w:rsidP="002D3458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1F39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7440" w:rsidRPr="001F390C">
        <w:rPr>
          <w:rFonts w:ascii="Times New Roman" w:hAnsi="Times New Roman" w:cs="Times New Roman"/>
          <w:sz w:val="26"/>
          <w:szCs w:val="26"/>
          <w:lang w:val="uk-UA"/>
        </w:rPr>
        <w:t>Метою моніторингу за напрямом "</w:t>
      </w:r>
      <w:r w:rsidR="00721C56" w:rsidRPr="001F390C">
        <w:rPr>
          <w:rFonts w:ascii="Times New Roman" w:hAnsi="Times New Roman" w:cs="Times New Roman"/>
          <w:sz w:val="26"/>
          <w:szCs w:val="26"/>
          <w:lang w:val="uk-UA"/>
        </w:rPr>
        <w:t>Освітня дія</w:t>
      </w:r>
      <w:bookmarkStart w:id="0" w:name="_GoBack"/>
      <w:bookmarkEnd w:id="0"/>
      <w:r w:rsidR="00721C56" w:rsidRPr="001F390C">
        <w:rPr>
          <w:rFonts w:ascii="Times New Roman" w:hAnsi="Times New Roman" w:cs="Times New Roman"/>
          <w:sz w:val="26"/>
          <w:szCs w:val="26"/>
          <w:lang w:val="uk-UA"/>
        </w:rPr>
        <w:t>льність</w:t>
      </w:r>
      <w:r w:rsidR="00B224DE" w:rsidRPr="001F390C">
        <w:rPr>
          <w:rFonts w:ascii="Times New Roman" w:hAnsi="Times New Roman" w:cs="Times New Roman"/>
          <w:sz w:val="26"/>
          <w:szCs w:val="26"/>
          <w:lang w:val="uk-UA"/>
        </w:rPr>
        <w:t>" є встановлення рівня</w:t>
      </w:r>
      <w:r w:rsidR="00EE7440" w:rsidRPr="001F390C">
        <w:rPr>
          <w:rFonts w:ascii="Times New Roman" w:hAnsi="Times New Roman" w:cs="Times New Roman"/>
          <w:sz w:val="26"/>
          <w:szCs w:val="26"/>
          <w:lang w:val="uk-UA"/>
        </w:rPr>
        <w:t xml:space="preserve"> якості надання освітніх послуг та його відповідність стандарту, </w:t>
      </w:r>
      <w:proofErr w:type="spellStart"/>
      <w:r w:rsidR="00EE7440" w:rsidRPr="001F390C">
        <w:rPr>
          <w:rFonts w:ascii="Times New Roman" w:hAnsi="Times New Roman" w:cs="Times New Roman"/>
          <w:sz w:val="26"/>
          <w:szCs w:val="26"/>
          <w:lang w:val="uk-UA"/>
        </w:rPr>
        <w:t>віднай</w:t>
      </w:r>
      <w:r w:rsidR="00B224DE" w:rsidRPr="001F390C">
        <w:rPr>
          <w:rFonts w:ascii="Times New Roman" w:hAnsi="Times New Roman" w:cs="Times New Roman"/>
          <w:sz w:val="26"/>
          <w:szCs w:val="26"/>
          <w:lang w:val="uk-UA"/>
        </w:rPr>
        <w:t>дення</w:t>
      </w:r>
      <w:proofErr w:type="spellEnd"/>
      <w:r w:rsidR="00721C56" w:rsidRPr="001F390C">
        <w:rPr>
          <w:rFonts w:ascii="Times New Roman" w:hAnsi="Times New Roman" w:cs="Times New Roman"/>
          <w:sz w:val="26"/>
          <w:szCs w:val="26"/>
          <w:lang w:val="uk-UA"/>
        </w:rPr>
        <w:t xml:space="preserve"> шляхів</w:t>
      </w:r>
      <w:r w:rsidR="00EE7440" w:rsidRPr="001F39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21C56" w:rsidRPr="001F390C">
        <w:rPr>
          <w:rFonts w:ascii="Times New Roman" w:hAnsi="Times New Roman" w:cs="Times New Roman"/>
          <w:sz w:val="26"/>
          <w:szCs w:val="26"/>
          <w:lang w:val="uk-UA"/>
        </w:rPr>
        <w:t>вдосконалення, урізноманітнення та оновлення освітньої діяльності</w:t>
      </w:r>
      <w:r w:rsidR="00EE7440" w:rsidRPr="001F39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D3458" w:rsidRPr="001F390C" w:rsidRDefault="002D3458" w:rsidP="002D3458">
      <w:pPr>
        <w:pStyle w:val="a4"/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</w:pPr>
      <w:r w:rsidRPr="001F390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У ЗДО </w:t>
      </w:r>
      <w:r w:rsidR="00B224DE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протягом 202</w:t>
      </w:r>
      <w:r w:rsidR="00721C56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3</w:t>
      </w:r>
      <w:r w:rsidR="00B224DE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-202</w:t>
      </w:r>
      <w:r w:rsidR="00721C56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4</w:t>
      </w:r>
      <w:r w:rsidR="00B224DE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 xml:space="preserve"> н. р. </w:t>
      </w:r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проведено </w:t>
      </w: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вивчення</w:t>
      </w:r>
      <w:proofErr w:type="spellEnd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</w:t>
      </w:r>
      <w:r w:rsidR="00721C56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освітньої</w:t>
      </w:r>
      <w:r w:rsidR="00EE7440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 xml:space="preserve"> діяльності</w:t>
      </w:r>
      <w:r w:rsidR="00B224DE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 xml:space="preserve"> з в</w:t>
      </w:r>
      <w:proofErr w:type="spellStart"/>
      <w:r w:rsidR="00B224DE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икориста</w:t>
      </w:r>
      <w:r w:rsidR="00B224DE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нням</w:t>
      </w:r>
      <w:proofErr w:type="spellEnd"/>
      <w:r w:rsidR="00B224DE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так</w:t>
      </w:r>
      <w:proofErr w:type="spellStart"/>
      <w:r w:rsidR="00B224DE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их</w:t>
      </w:r>
      <w:proofErr w:type="spellEnd"/>
      <w:r w:rsidR="00B224DE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метод</w:t>
      </w:r>
      <w:proofErr w:type="spellStart"/>
      <w:r w:rsidR="00B224DE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ів</w:t>
      </w:r>
      <w:proofErr w:type="spellEnd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збору</w:t>
      </w:r>
      <w:proofErr w:type="spellEnd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інформації</w:t>
      </w:r>
      <w:proofErr w:type="spellEnd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:</w:t>
      </w:r>
    </w:p>
    <w:p w:rsidR="002D3458" w:rsidRPr="001F390C" w:rsidRDefault="002D3458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</w:pP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спостереження</w:t>
      </w:r>
      <w:proofErr w:type="spellEnd"/>
      <w:r w:rsidR="00EE7440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, інтерв'ювання</w:t>
      </w:r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; </w:t>
      </w:r>
    </w:p>
    <w:p w:rsidR="002D3458" w:rsidRPr="001F390C" w:rsidRDefault="002D3458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</w:pP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опитування</w:t>
      </w:r>
      <w:proofErr w:type="spellEnd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(</w:t>
      </w: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анкетування</w:t>
      </w:r>
      <w:proofErr w:type="spellEnd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батьків</w:t>
      </w:r>
      <w:proofErr w:type="spellEnd"/>
      <w:r w:rsidR="00721C56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 xml:space="preserve"> та педагогів</w:t>
      </w:r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, </w:t>
      </w: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бесіди</w:t>
      </w:r>
      <w:proofErr w:type="spellEnd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з </w:t>
      </w:r>
      <w:r w:rsidR="00721C56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педагогами</w:t>
      </w:r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);</w:t>
      </w:r>
    </w:p>
    <w:p w:rsidR="00EE7440" w:rsidRPr="001F390C" w:rsidRDefault="00EE7440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</w:pPr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аналіз документації вихователів та спеціалістів</w:t>
      </w:r>
    </w:p>
    <w:p w:rsidR="002D3458" w:rsidRPr="001F390C" w:rsidRDefault="00EE7440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</w:pP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вивчення</w:t>
      </w:r>
      <w:proofErr w:type="spellEnd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документів</w:t>
      </w:r>
      <w:proofErr w:type="spellEnd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:</w:t>
      </w:r>
    </w:p>
    <w:p w:rsidR="002D3458" w:rsidRPr="001F390C" w:rsidRDefault="00B224DE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</w:pPr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- </w:t>
      </w:r>
      <w:r w:rsidR="00EE7440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освітня програма закладу</w:t>
      </w:r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;</w:t>
      </w:r>
    </w:p>
    <w:p w:rsidR="002D3458" w:rsidRPr="001F390C" w:rsidRDefault="00B224DE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</w:pPr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- план </w:t>
      </w:r>
      <w:proofErr w:type="spellStart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роботи</w:t>
      </w:r>
      <w:proofErr w:type="spellEnd"/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закладу на </w:t>
      </w:r>
      <w:proofErr w:type="spellStart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навчальний</w:t>
      </w:r>
      <w:proofErr w:type="spellEnd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рік</w:t>
      </w:r>
      <w:proofErr w:type="spellEnd"/>
    </w:p>
    <w:p w:rsidR="002D3458" w:rsidRPr="001F390C" w:rsidRDefault="00B224DE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</w:pPr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- </w:t>
      </w:r>
      <w:proofErr w:type="spellStart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матеріали</w:t>
      </w:r>
      <w:proofErr w:type="spellEnd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тематичного</w:t>
      </w:r>
      <w:proofErr w:type="spellEnd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контролю;</w:t>
      </w:r>
    </w:p>
    <w:p w:rsidR="002D3458" w:rsidRPr="001F390C" w:rsidRDefault="00B224DE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</w:pPr>
      <w:r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- </w:t>
      </w:r>
      <w:proofErr w:type="spellStart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протоколи</w:t>
      </w:r>
      <w:proofErr w:type="spellEnd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засідань</w:t>
      </w:r>
      <w:proofErr w:type="spellEnd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>педагогічної</w:t>
      </w:r>
      <w:proofErr w:type="spellEnd"/>
      <w:r w:rsidR="002D3458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</w:rPr>
        <w:t xml:space="preserve"> ради</w:t>
      </w:r>
      <w:r w:rsidR="00EE7440" w:rsidRPr="001F390C">
        <w:rPr>
          <w:rFonts w:ascii="Times New Roman" w:hAnsi="Times New Roman" w:cs="Times New Roman"/>
          <w:color w:val="202124"/>
          <w:spacing w:val="2"/>
          <w:sz w:val="26"/>
          <w:szCs w:val="26"/>
          <w:shd w:val="clear" w:color="auto" w:fill="FFFFFF"/>
          <w:lang w:val="uk-UA"/>
        </w:rPr>
        <w:t>...</w:t>
      </w:r>
    </w:p>
    <w:p w:rsidR="002D3458" w:rsidRPr="00EE7440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</w:pPr>
    </w:p>
    <w:tbl>
      <w:tblPr>
        <w:tblW w:w="15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2886"/>
        <w:gridCol w:w="3827"/>
        <w:gridCol w:w="567"/>
        <w:gridCol w:w="3658"/>
        <w:gridCol w:w="18"/>
        <w:gridCol w:w="1427"/>
      </w:tblGrid>
      <w:tr w:rsidR="00DC2698" w:rsidRPr="00886E51" w:rsidTr="0002699E">
        <w:trPr>
          <w:trHeight w:val="1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/правило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E51" w:rsidRPr="00886E51" w:rsidRDefault="00886E51" w:rsidP="00886E51">
            <w:pPr>
              <w:spacing w:after="0" w:line="240" w:lineRule="auto"/>
              <w:ind w:left="750"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ind w:left="1388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</w:t>
            </w:r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A90DFA" w:rsidP="00886E51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Самооцінка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DC2698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едоліки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DFA" w:rsidRPr="00886E51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886E51" w:rsidRDefault="00A90DFA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886E51" w:rsidRDefault="00A90DFA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Pr="00886E51" w:rsidRDefault="00A90DFA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Pr="00A90DFA" w:rsidRDefault="00A90DFA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886E51" w:rsidRPr="00886E51" w:rsidTr="0002699E">
        <w:trPr>
          <w:trHeight w:val="276"/>
        </w:trPr>
        <w:tc>
          <w:tcPr>
            <w:tcW w:w="15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:rsidR="00A90DFA" w:rsidRPr="00A90DFA" w:rsidRDefault="00721C56" w:rsidP="00886E51">
            <w:pPr>
              <w:spacing w:after="0" w:line="240" w:lineRule="auto"/>
              <w:ind w:left="1809" w:right="17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ІІ.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Здобувачі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дошкільної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всебічного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дитини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дошкільного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віку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набуття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нею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життєвого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соціального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досвіду</w:t>
            </w:r>
            <w:proofErr w:type="spellEnd"/>
            <w:r w:rsidRPr="00721C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90DFA" w:rsidRPr="000E7F14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A90DFA" w:rsidRDefault="00721C56" w:rsidP="00123754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 Базового компонента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721C56" w:rsidRDefault="00721C56" w:rsidP="00123754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 У закладі дошкільної освіти реалізується Базовий компонент дошкільної освіти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Pr="00A90DFA" w:rsidRDefault="00721C56" w:rsidP="00123754">
            <w:pPr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2.1.1.1. Заклад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затвердженими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721C56">
              <w:rPr>
                <w:rFonts w:ascii="Times New Roman" w:hAnsi="Times New Roman" w:cs="Times New Roman"/>
                <w:sz w:val="24"/>
                <w:szCs w:val="24"/>
              </w:rPr>
              <w:t xml:space="preserve"> порядку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E16" w:rsidRPr="00A90DFA" w:rsidRDefault="00A249DA" w:rsidP="00A249DA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ЗДО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реалізується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Базовий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аклад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працює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Українське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дошкілля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У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освітню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програму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освітніх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компонентів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набуття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компетентностей),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Базовим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компонентом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0E7F14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900884" w:rsidP="001237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2.1.1.2. Організація освітнього процесу у закладі дошкільної освіти сприяє набуттю дитиною різних </w:t>
            </w:r>
            <w:proofErr w:type="spellStart"/>
            <w:r w:rsidRPr="0090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90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освітніх ліній, визначених інваріантною складовою </w:t>
            </w:r>
            <w:r w:rsidRPr="00900884">
              <w:rPr>
                <w:rFonts w:ascii="Times New Roman" w:hAnsi="Times New Roman" w:cs="Times New Roman"/>
                <w:sz w:val="24"/>
                <w:szCs w:val="24"/>
              </w:rPr>
              <w:t xml:space="preserve">Базового компонента </w:t>
            </w:r>
            <w:proofErr w:type="spellStart"/>
            <w:r w:rsidRPr="00900884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900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884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B54" w:rsidRPr="00A90DFA" w:rsidRDefault="00A249DA" w:rsidP="00A249DA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Освітній процес у закладі дошкільної освіти організовано з метою набуття дитиною різних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відповідно до освітніх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напрямів</w:t>
            </w:r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визначених інваріантною складовою </w:t>
            </w:r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Базового компоненту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00884" w:rsidRPr="00A249D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84" w:rsidRPr="00A90DFA" w:rsidRDefault="00900884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84" w:rsidRPr="00A90DFA" w:rsidRDefault="00900884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84" w:rsidRPr="00900884" w:rsidRDefault="00900884" w:rsidP="00A249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2.1.1.3. У закладі дошкільної освіти створюються умови для реалізації варіативної складової Базового компонента дошкільної освіти, для впровадження додаткових організаційних форм освітнього процесу – гуртки, студії, секції (за згодою батьків та з урахуванням індивідуальних особливостей здобувачів дошкільної освіти)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884" w:rsidRPr="00A90DFA" w:rsidRDefault="00900884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84" w:rsidRPr="00A90DFA" w:rsidRDefault="00A249DA" w:rsidP="00A249DA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реалізується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варіативна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складова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Базового компоненту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переважній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більшості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додаткові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організаційні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гуртки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профільні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Основними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завданнями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є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гармонійного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різнобічного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освоєння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здорового способу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досвіду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свідомості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престижу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державної</w:t>
            </w:r>
            <w:proofErr w:type="spellEnd"/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884" w:rsidRPr="00A90DFA" w:rsidRDefault="00900884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A249D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900884" w:rsidRDefault="00900884" w:rsidP="00123754">
            <w:pPr>
              <w:ind w:right="1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2.1.2. У закладі дошкільної освіти здійснюється внутрішній моніторинг стану і </w:t>
            </w:r>
            <w:r w:rsidRPr="0090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результатів освітньої діяльності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900884" w:rsidRDefault="00900884" w:rsidP="00934EEE">
            <w:pPr>
              <w:ind w:right="10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2.1.2.1. У закладі дошкільної освіти здійснюється аналіз стану освітньої діяльності, приймаються відповідні управлінські рішенн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249DA" w:rsidP="00A249DA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Двічі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проводить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внутрішній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засвоєння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освітніми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напрямами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Базового компонента,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досліджують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як: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особистість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дитина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сенсорно-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пізнавальному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просторі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дитина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соціумі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дитина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мовлення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дитина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природному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довкіллі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Відповідне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дає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можливість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відстежувати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прогрес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засвоєння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динаміку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ЗДО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діагностування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предмет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адаптації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Кожного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півріччя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педагогами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оцінки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надає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заклад. За результатами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зробити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висновок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більшість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мають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достатній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рівень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23754" w:rsidRPr="00A249D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54" w:rsidRPr="00123754" w:rsidRDefault="00123754" w:rsidP="00123754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2.2. Організація життєдіяльності здобувачів дошкільної освіти у закладі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54" w:rsidRPr="00900884" w:rsidRDefault="00123754" w:rsidP="00123754">
            <w:pPr>
              <w:ind w:right="1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2.2.1. У закладі дошкільної освіти забезпечено дотримання вимог до розпорядку дня та навчання, організації життєдіяльності, рухової активності дітей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754" w:rsidRPr="00900884" w:rsidRDefault="00123754" w:rsidP="00123754">
            <w:pPr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2.2.1.1. Розпорядок дня здобувачів дошкільної освіти у вікових групах відповідає гігієнічним нормам щодо тривалості сну, організації різними видами діяльності та відпочинку, у тому числі навчальних занять, тривалості перебування на свіжому повітрі, рухової активності, кратності </w:t>
            </w:r>
            <w:r w:rsidRPr="00123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приймання їжі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754" w:rsidRPr="00A90DFA" w:rsidRDefault="00123754" w:rsidP="00123754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754" w:rsidRPr="00A90DFA" w:rsidRDefault="00A249DA" w:rsidP="00A249DA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розпорядку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та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Дотримано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рухової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враховано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вікові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754" w:rsidRPr="00A90DFA" w:rsidRDefault="00123754" w:rsidP="0012375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23754" w:rsidRPr="001F390C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54" w:rsidRPr="00123754" w:rsidRDefault="00123754" w:rsidP="00123754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54" w:rsidRPr="00123754" w:rsidRDefault="00123754" w:rsidP="00123754">
            <w:pPr>
              <w:ind w:right="1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754" w:rsidRPr="00123754" w:rsidRDefault="00123754" w:rsidP="00123754">
            <w:pPr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2.2.1.2. Гранично допустиме навчальне навантаження на здобувача дошкільної освіти у закладі дошкільної освіти відповідає віковій групі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754" w:rsidRPr="00A90DFA" w:rsidRDefault="00123754" w:rsidP="00123754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754" w:rsidRPr="00A249DA" w:rsidRDefault="00A249DA" w:rsidP="0012375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</w:t>
            </w:r>
            <w:r w:rsidRPr="00A24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ранично допустиме навчальне навантаження на здобувача дошкільної освіти у закладі дошкільної освіти відповідає віковій групі та особливостям здобувачів освіти.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754" w:rsidRPr="00A90DFA" w:rsidRDefault="00123754" w:rsidP="0012375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844536" w:rsidRPr="00A90DFA" w:rsidRDefault="00844536" w:rsidP="00123754">
      <w:pPr>
        <w:jc w:val="both"/>
        <w:rPr>
          <w:lang w:val="uk-UA"/>
        </w:rPr>
      </w:pPr>
    </w:p>
    <w:sectPr w:rsidR="00844536" w:rsidRPr="00A90DFA" w:rsidSect="00886E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91C86"/>
    <w:multiLevelType w:val="hybridMultilevel"/>
    <w:tmpl w:val="F7E6F0A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4536"/>
    <w:rsid w:val="0002699E"/>
    <w:rsid w:val="00045B54"/>
    <w:rsid w:val="00071A1D"/>
    <w:rsid w:val="000813A6"/>
    <w:rsid w:val="000D3091"/>
    <w:rsid w:val="000E7F14"/>
    <w:rsid w:val="00123754"/>
    <w:rsid w:val="00133766"/>
    <w:rsid w:val="001A6E2F"/>
    <w:rsid w:val="001D410F"/>
    <w:rsid w:val="001F390C"/>
    <w:rsid w:val="002900B0"/>
    <w:rsid w:val="002D2006"/>
    <w:rsid w:val="002D3458"/>
    <w:rsid w:val="003D6F63"/>
    <w:rsid w:val="00441762"/>
    <w:rsid w:val="00497E16"/>
    <w:rsid w:val="004B0A13"/>
    <w:rsid w:val="004C6809"/>
    <w:rsid w:val="004D0706"/>
    <w:rsid w:val="00515279"/>
    <w:rsid w:val="00591FBD"/>
    <w:rsid w:val="00596455"/>
    <w:rsid w:val="006B4AAE"/>
    <w:rsid w:val="00721C56"/>
    <w:rsid w:val="007B1E5A"/>
    <w:rsid w:val="007D4158"/>
    <w:rsid w:val="00801F11"/>
    <w:rsid w:val="00844536"/>
    <w:rsid w:val="00886E51"/>
    <w:rsid w:val="00900884"/>
    <w:rsid w:val="009E522B"/>
    <w:rsid w:val="00A249DA"/>
    <w:rsid w:val="00A521B5"/>
    <w:rsid w:val="00A7370C"/>
    <w:rsid w:val="00A90DFA"/>
    <w:rsid w:val="00B224DE"/>
    <w:rsid w:val="00B97455"/>
    <w:rsid w:val="00DC2698"/>
    <w:rsid w:val="00DE491E"/>
    <w:rsid w:val="00E14B4F"/>
    <w:rsid w:val="00E51BF1"/>
    <w:rsid w:val="00E82FE0"/>
    <w:rsid w:val="00EA4388"/>
    <w:rsid w:val="00EB1B51"/>
    <w:rsid w:val="00EB739E"/>
    <w:rsid w:val="00E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135F5-CC63-4098-B437-05EF1FD9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DE4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4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94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16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20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532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40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968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75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78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43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784F-8F04-4AFB-A8D5-F63755C5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7</cp:revision>
  <cp:lastPrinted>2023-08-31T09:05:00Z</cp:lastPrinted>
  <dcterms:created xsi:type="dcterms:W3CDTF">2023-09-22T14:13:00Z</dcterms:created>
  <dcterms:modified xsi:type="dcterms:W3CDTF">2024-09-17T13:57:00Z</dcterms:modified>
</cp:coreProperties>
</file>