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1" w:rsidRPr="00FA7401" w:rsidRDefault="003661FF" w:rsidP="00FA7401">
      <w:pPr>
        <w:shd w:val="clear" w:color="auto" w:fill="FFFFFF"/>
        <w:spacing w:after="0" w:line="240" w:lineRule="auto"/>
        <w:ind w:right="-284"/>
        <w:rPr>
          <w:rFonts w:eastAsia="Times New Roman"/>
          <w:color w:val="686868"/>
          <w:lang w:eastAsia="uk-UA"/>
        </w:rPr>
      </w:pPr>
      <w:r w:rsidRPr="003661FF">
        <w:rPr>
          <w:rFonts w:eastAsia="Times New Roman"/>
          <w:b/>
          <w:bCs/>
          <w:noProof/>
          <w:color w:val="000000"/>
          <w:sz w:val="28"/>
          <w:szCs w:val="28"/>
          <w:lang w:eastAsia="uk-UA"/>
        </w:rPr>
        <w:pict>
          <v:rect id="_x0000_s1026" style="position:absolute;margin-left:274pt;margin-top:-34.3pt;width:189.7pt;height:68.1pt;z-index:251658240" stroked="f">
            <v:textbox style="mso-next-textbox:#_x0000_s1026">
              <w:txbxContent>
                <w:p w:rsidR="00577AB6" w:rsidRPr="00577AB6" w:rsidRDefault="00577AB6" w:rsidP="00577AB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77AB6">
                    <w:rPr>
                      <w:sz w:val="26"/>
                      <w:szCs w:val="26"/>
                    </w:rPr>
                    <w:t xml:space="preserve">ЗАТВЕРДЖЕНО </w:t>
                  </w:r>
                </w:p>
                <w:p w:rsidR="00577AB6" w:rsidRPr="00577AB6" w:rsidRDefault="00577AB6" w:rsidP="00577AB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77AB6">
                    <w:rPr>
                      <w:sz w:val="26"/>
                      <w:szCs w:val="26"/>
                    </w:rPr>
                    <w:t>Рішенням педагогічної ради</w:t>
                  </w:r>
                </w:p>
                <w:p w:rsidR="00577AB6" w:rsidRPr="00577AB6" w:rsidRDefault="00577AB6" w:rsidP="00577AB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77AB6">
                    <w:rPr>
                      <w:sz w:val="26"/>
                      <w:szCs w:val="26"/>
                    </w:rPr>
                    <w:t>від 26.01.2021р</w:t>
                  </w:r>
                </w:p>
              </w:txbxContent>
            </v:textbox>
          </v:rect>
        </w:pict>
      </w:r>
      <w:r w:rsidR="00577AB6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 </w:t>
      </w: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48"/>
          <w:szCs w:val="48"/>
          <w:lang w:eastAsia="uk-UA"/>
        </w:rPr>
        <w:t>ПОЛОЖЕННЯ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577AB6" w:rsidRPr="00577AB6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6"/>
          <w:szCs w:val="32"/>
          <w:lang w:eastAsia="uk-UA"/>
        </w:rPr>
      </w:pPr>
      <w:r w:rsidRPr="00577AB6">
        <w:rPr>
          <w:rFonts w:eastAsia="Times New Roman"/>
          <w:b/>
          <w:bCs/>
          <w:color w:val="000000"/>
          <w:sz w:val="36"/>
          <w:szCs w:val="32"/>
          <w:lang w:eastAsia="uk-UA"/>
        </w:rPr>
        <w:t xml:space="preserve">про внутрішню систему </w:t>
      </w:r>
    </w:p>
    <w:p w:rsidR="00FA7401" w:rsidRPr="00577AB6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Cs w:val="23"/>
          <w:lang w:eastAsia="uk-UA"/>
        </w:rPr>
      </w:pPr>
      <w:r w:rsidRPr="00577AB6">
        <w:rPr>
          <w:rFonts w:eastAsia="Times New Roman"/>
          <w:b/>
          <w:bCs/>
          <w:color w:val="000000"/>
          <w:sz w:val="36"/>
          <w:szCs w:val="32"/>
          <w:lang w:eastAsia="uk-UA"/>
        </w:rPr>
        <w:t>забезпечення якості освіти</w:t>
      </w:r>
    </w:p>
    <w:p w:rsidR="00FA7401" w:rsidRPr="00577AB6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Cs w:val="23"/>
          <w:lang w:eastAsia="uk-UA"/>
        </w:rPr>
      </w:pPr>
      <w:r w:rsidRPr="00577AB6">
        <w:rPr>
          <w:rFonts w:eastAsia="Times New Roman"/>
          <w:b/>
          <w:bCs/>
          <w:color w:val="000000"/>
          <w:sz w:val="36"/>
          <w:szCs w:val="32"/>
          <w:lang w:eastAsia="uk-UA"/>
        </w:rPr>
        <w:t xml:space="preserve"> ЗДО ясла-садок №12</w:t>
      </w:r>
    </w:p>
    <w:p w:rsidR="00FA7401" w:rsidRPr="00577AB6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Cs w:val="23"/>
          <w:lang w:eastAsia="uk-UA"/>
        </w:rPr>
      </w:pPr>
      <w:r w:rsidRPr="00577AB6">
        <w:rPr>
          <w:rFonts w:eastAsia="Times New Roman"/>
          <w:b/>
          <w:bCs/>
          <w:color w:val="000000"/>
          <w:sz w:val="36"/>
          <w:szCs w:val="32"/>
          <w:lang w:eastAsia="uk-UA"/>
        </w:rPr>
        <w:t> </w:t>
      </w:r>
    </w:p>
    <w:p w:rsidR="00FA7401" w:rsidRPr="00577AB6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Cs w:val="23"/>
          <w:lang w:eastAsia="uk-UA"/>
        </w:rPr>
      </w:pPr>
      <w:r w:rsidRPr="00577AB6">
        <w:rPr>
          <w:rFonts w:eastAsia="Times New Roman"/>
          <w:b/>
          <w:bCs/>
          <w:color w:val="000000"/>
          <w:sz w:val="36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b/>
          <w:bCs/>
          <w:color w:val="000000"/>
          <w:sz w:val="32"/>
          <w:szCs w:val="32"/>
          <w:lang w:eastAsia="uk-UA"/>
        </w:rPr>
        <w:t> </w:t>
      </w: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97AC9" w:rsidRDefault="00597AC9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77AB6" w:rsidRDefault="00577AB6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577AB6" w:rsidRDefault="00577AB6" w:rsidP="00577AB6">
      <w:pPr>
        <w:shd w:val="clear" w:color="auto" w:fill="FFFFFF"/>
        <w:spacing w:after="0" w:line="240" w:lineRule="auto"/>
        <w:ind w:right="-284"/>
        <w:jc w:val="center"/>
        <w:rPr>
          <w:rFonts w:eastAsia="Times New Roman"/>
          <w:b/>
          <w:bCs/>
          <w:color w:val="000000"/>
          <w:sz w:val="32"/>
          <w:szCs w:val="32"/>
          <w:lang w:eastAsia="uk-UA"/>
        </w:rPr>
      </w:pPr>
    </w:p>
    <w:p w:rsidR="00FA7401" w:rsidRPr="00FA7401" w:rsidRDefault="00FA7401" w:rsidP="00597AC9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Arial" w:eastAsia="Times New Roman" w:hAnsi="Arial" w:cs="Arial"/>
          <w:color w:val="686868"/>
          <w:sz w:val="23"/>
          <w:szCs w:val="23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center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Arial" w:eastAsia="Times New Roman" w:hAnsi="Arial" w:cs="Arial"/>
          <w:color w:val="686868"/>
          <w:sz w:val="23"/>
          <w:szCs w:val="23"/>
          <w:lang w:eastAsia="uk-UA"/>
        </w:rPr>
        <w:t>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lastRenderedPageBreak/>
        <w:t>1. Положення про внутрішню систему забезпечення якості освіти в  ЗДО  розроблено відповідно до вимог частини третьої статті 41  Закону України  «Про освіту, Закону України «Про дошкільну освіту», Базового компоненту дошкільної освіти, Статуту закладу.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2. Стратегія (політика) забезпечення якості освіти в закладі базується на таких принципах: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відповідності Базовому компоненту дошкільної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відповідальності за забезпечення якості освіти та якості освітньої діяльності;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системності в управлінні якістю на всіх стадіях освітнього процесу;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демократизації в освітній діяльності;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- здійснення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обгрунтованого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моніторингу якості;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готовності суб’єктів освітньої діяльності до ефективних змін;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відкритості  інформації  на  всіх  етапах  забезпечення  якості  та  прозорості  процедур  системи забезпечення якості освітньої діяльності.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3. 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збереження та зміцнення фізичного, психічного і духовного здоров’я дитини;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формування особистості дитини, розвиток її творчих здібностей, набуття нею соціального досвіду;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FA7401" w:rsidRPr="00577AB6" w:rsidRDefault="00FA7401" w:rsidP="00577AB6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686868"/>
          <w:sz w:val="4"/>
          <w:szCs w:val="23"/>
          <w:lang w:eastAsia="uk-UA"/>
        </w:rPr>
      </w:pP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4.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Заклад </w:t>
      </w:r>
      <w:r w:rsidR="00597AC9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працює </w:t>
      </w:r>
      <w:r w:rsidR="00597AC9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у взаємодії з усіма зацікавленими суб’єктами, до яких відносяться: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здобувачі освіти та їх батьки;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педагогічний персонал ЗДО;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засновник – </w:t>
      </w:r>
      <w:r w:rsidR="00597AC9">
        <w:rPr>
          <w:rFonts w:eastAsia="Times New Roman"/>
          <w:color w:val="000000"/>
          <w:sz w:val="28"/>
          <w:szCs w:val="28"/>
          <w:lang w:eastAsia="uk-UA"/>
        </w:rPr>
        <w:t>Червоноградська міська рада</w:t>
      </w:r>
      <w:r w:rsidR="00597AC9" w:rsidRPr="00FA7401">
        <w:rPr>
          <w:rFonts w:eastAsia="Times New Roman"/>
          <w:color w:val="000000"/>
          <w:sz w:val="28"/>
          <w:szCs w:val="28"/>
          <w:lang w:eastAsia="uk-UA"/>
        </w:rPr>
        <w:t>;</w:t>
      </w:r>
    </w:p>
    <w:p w:rsidR="00597AC9" w:rsidRPr="00FA7401" w:rsidRDefault="00FA7401" w:rsidP="00597AC9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 </w:t>
      </w:r>
      <w:r w:rsidR="00597AC9">
        <w:rPr>
          <w:rFonts w:eastAsia="Times New Roman"/>
          <w:color w:val="000000"/>
          <w:sz w:val="28"/>
          <w:szCs w:val="28"/>
          <w:lang w:eastAsia="uk-UA"/>
        </w:rPr>
        <w:t xml:space="preserve">  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 відділ освіти</w:t>
      </w:r>
      <w:r w:rsidR="00597AC9" w:rsidRPr="00597AC9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597AC9">
        <w:rPr>
          <w:rFonts w:eastAsia="Times New Roman"/>
          <w:color w:val="000000"/>
          <w:sz w:val="28"/>
          <w:szCs w:val="28"/>
          <w:lang w:eastAsia="uk-UA"/>
        </w:rPr>
        <w:t>Червоноградської  міської  ради</w:t>
      </w:r>
      <w:r w:rsidR="00597AC9" w:rsidRPr="00FA7401">
        <w:rPr>
          <w:rFonts w:eastAsia="Times New Roman"/>
          <w:color w:val="000000"/>
          <w:sz w:val="28"/>
          <w:szCs w:val="28"/>
          <w:lang w:eastAsia="uk-UA"/>
        </w:rPr>
        <w:t>;</w:t>
      </w:r>
    </w:p>
    <w:p w:rsidR="00FA7401" w:rsidRPr="00FA7401" w:rsidRDefault="00597AC9" w:rsidP="00FA7401">
      <w:pPr>
        <w:shd w:val="clear" w:color="auto" w:fill="FFFFFF"/>
        <w:spacing w:after="0" w:line="240" w:lineRule="auto"/>
        <w:ind w:left="1095" w:hanging="360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</w:t>
      </w:r>
      <w:r>
        <w:rPr>
          <w:rFonts w:eastAsia="Times New Roman"/>
          <w:color w:val="000000"/>
          <w:sz w:val="14"/>
          <w:szCs w:val="14"/>
          <w:lang w:eastAsia="uk-UA"/>
        </w:rPr>
        <w:t xml:space="preserve">             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громадськість. </w:t>
      </w:r>
    </w:p>
    <w:p w:rsidR="00FA7401" w:rsidRPr="00577AB6" w:rsidRDefault="00FA7401" w:rsidP="00577AB6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5. Критеріями ефективності внутрішньої системи забезпечення якості освіти є:</w:t>
      </w:r>
    </w:p>
    <w:p w:rsidR="00FA7401" w:rsidRPr="00FA7401" w:rsidRDefault="00FA7401" w:rsidP="00FA7401">
      <w:pPr>
        <w:shd w:val="clear" w:color="auto" w:fill="FFFFFF"/>
        <w:spacing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перед її вступом до школи.</w:t>
      </w:r>
    </w:p>
    <w:p w:rsidR="00FA7401" w:rsidRPr="00FA7401" w:rsidRDefault="00FA7401" w:rsidP="00FA7401">
      <w:pPr>
        <w:shd w:val="clear" w:color="auto" w:fill="FFFFFF"/>
        <w:spacing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       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відповідність узагальнених показників результату освітньої  роботи (сформованість певного виду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>) змісту освітніх ліній, визначених інваріантною складовою Базового  компонента  дошкільної  освіти.</w:t>
      </w:r>
    </w:p>
    <w:p w:rsidR="00FA7401" w:rsidRPr="00FA7401" w:rsidRDefault="00FA7401" w:rsidP="00FA7401">
      <w:pPr>
        <w:shd w:val="clear" w:color="auto" w:fill="FFFFFF"/>
        <w:spacing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дошкільників.</w:t>
      </w:r>
    </w:p>
    <w:p w:rsidR="00FA7401" w:rsidRPr="00FA7401" w:rsidRDefault="00FA7401" w:rsidP="00FA7401">
      <w:pPr>
        <w:shd w:val="clear" w:color="auto" w:fill="FFFFFF"/>
        <w:spacing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якісний склад та ефективність роботи педагогічних працівників.</w:t>
      </w:r>
    </w:p>
    <w:p w:rsidR="00FA7401" w:rsidRPr="00FA7401" w:rsidRDefault="00FA7401" w:rsidP="00FA7401">
      <w:pPr>
        <w:shd w:val="clear" w:color="auto" w:fill="FFFFFF"/>
        <w:spacing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показник наявності освітніх, методичних і матеріально-технічних ресурсів для забезпечення якісного освітнього процесу.</w:t>
      </w:r>
    </w:p>
    <w:p w:rsidR="00E11750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6.</w:t>
      </w:r>
      <w:r w:rsidRPr="00FA7401">
        <w:rPr>
          <w:rFonts w:eastAsia="Times New Roman"/>
          <w:color w:val="000000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Характеристика чинної внутрішньої системи забезпечення якості освіти в</w:t>
      </w:r>
      <w:r w:rsidRPr="00FA7401">
        <w:rPr>
          <w:rFonts w:eastAsia="Times New Roman"/>
          <w:color w:val="000000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ЗДО 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6.1. Зміст внутрішньої системи якості освіти закладу формується та реалізується за напрямами: «Освітнє середовище», «Педагогічна діяльність», «Здобувачі освіти». «Результати навчання, виховання», «Управління закладом освіти», «Формування іміджу сучасного закладу освіти».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6.2. Напрям </w:t>
      </w: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«Освітнє середовище»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 відображає  забезпечення якісних показників розвитку вихованців закладу, створюються сприятливі умови навчання, виховання та перебування  в </w:t>
      </w:r>
      <w:r w:rsidR="00E11750">
        <w:rPr>
          <w:rFonts w:eastAsia="Times New Roman"/>
          <w:color w:val="000000"/>
          <w:sz w:val="28"/>
          <w:szCs w:val="28"/>
          <w:lang w:eastAsia="uk-UA"/>
        </w:rPr>
        <w:t>ЗДО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. Для цього діяльність закладу спрямована на облаштування куточків освітнього середовища, забезпечення ігровим,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роздатковим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та дидактичним матеріалом.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Для ефективного функціонування закладу створюється єдиний інформаційний простір, а саме, формується інформаційна база даних програми «КУРС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Дошкілля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>».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При оцінюванні якості освітнього процесу можуть використовуватися комплексні технології для обробки результатів моніторингу.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 Для обміну інформацією з якості освітнього процесу використовується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відео-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аудіо-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і магнітні носії інформації, розмножувальна техніка.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 Для забезпечення більш широких і різноманітних зв'язків закладу із зовнішнім середовищем, у тому числі доступу до різних баз даних, джерел інформації ЗДО підключено до швидкісного Інтернету.</w:t>
      </w:r>
    </w:p>
    <w:p w:rsidR="00FA7401" w:rsidRPr="00FA7401" w:rsidRDefault="00FA7401" w:rsidP="00F712A1">
      <w:pPr>
        <w:shd w:val="clear" w:color="auto" w:fill="FFFFFF"/>
        <w:spacing w:after="0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Для забезпечення створення єдиного інформаційного поля ЗДО функціонує офіційний сайт закладу</w:t>
      </w:r>
      <w:r w:rsidR="007F3AEA">
        <w:rPr>
          <w:rFonts w:eastAsia="Times New Roman"/>
          <w:color w:val="000000"/>
          <w:sz w:val="28"/>
          <w:szCs w:val="28"/>
          <w:lang w:eastAsia="uk-UA"/>
        </w:rPr>
        <w:t>.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="007F3AEA">
        <w:rPr>
          <w:rFonts w:eastAsia="Times New Roman"/>
          <w:color w:val="000000"/>
          <w:sz w:val="28"/>
          <w:szCs w:val="28"/>
          <w:lang w:eastAsia="uk-UA"/>
        </w:rPr>
        <w:t xml:space="preserve">  </w:t>
      </w:r>
    </w:p>
    <w:p w:rsidR="00FA7401" w:rsidRPr="00FA7401" w:rsidRDefault="00FA7401" w:rsidP="00F712A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 6.3. У напрямі </w:t>
      </w: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«Педагогічна діяльність»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 визначені критерії, оцінювання педагогічної діяльності педагогічних працівників у   ЗДО 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стан забезпечення кадрами відповідно фахової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освітній рівень педагогічних працівників;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результати атестації;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систематичність підвищення кваліфікації;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наявність педагогічних звань, почесних нагород;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наявність авторських програм, посібників, методичних рекомендацій, статей тощо;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участь в експериментальній ді</w:t>
      </w:r>
      <w:r w:rsidR="007036DD">
        <w:rPr>
          <w:rFonts w:eastAsia="Times New Roman"/>
          <w:color w:val="000000"/>
          <w:sz w:val="28"/>
          <w:szCs w:val="28"/>
          <w:lang w:eastAsia="uk-UA"/>
        </w:rPr>
        <w:t>я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льності;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результати освітньої діяльності;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оптимальність розподілу педагогічного навантаження;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показник плинності кадрів. 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З метою вдосконалення професійної підготовки шляхом поглиблення, розширення й оновлення професійних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організовується підвищення кваліфікації  педагогічних працівників.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Щорічне підвищення кваліфікації педагогічних працівників здійснюється відповідно до Закону України «Про освіту».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Загальна кількість академічних годин для підвищення кваліфікації педагогічного працівника впродовж п’яти років не може бути меншою за 1</w:t>
      </w:r>
      <w:r w:rsidR="008F7B02">
        <w:rPr>
          <w:rFonts w:eastAsia="Times New Roman"/>
          <w:color w:val="000000"/>
          <w:sz w:val="28"/>
          <w:szCs w:val="28"/>
          <w:lang w:eastAsia="uk-UA"/>
        </w:rPr>
        <w:t>2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0 годин.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Підвищення кваліфікації  педагогічних працівників здійснюється за такими видами: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довгострокове підвищення кваліфікації – курси; </w:t>
      </w:r>
    </w:p>
    <w:p w:rsidR="00FA7401" w:rsidRPr="00FA7401" w:rsidRDefault="008F7B02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-</w:t>
      </w:r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>короткострокове</w:t>
      </w:r>
      <w:proofErr w:type="spellEnd"/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 xml:space="preserve"> підвищення кваліфікації: семінари, семінари-практикуми,  тренінги, конференції, «круглі столи» тощо.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Щорічний план підвищення кваліфікації педагогічних працівників затверджує педагогічна рада закладу.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Показником ефективності та результативності діяльності педагогічних працівників є їх атестація.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Атестація педагогічних працівників є обов'язковою і здійснюється один раз на п'ять років відповідно до Типового положення про атестацію педагогічних працівників.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6.4. Напрям </w:t>
      </w: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«Здобувачі освіти. Результати навчання, виховання»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 здійснюється шляхом  моніторингу і узагальнення  його результатів за освітніми лінями</w:t>
      </w:r>
      <w:r w:rsidRPr="00FA7401">
        <w:rPr>
          <w:rFonts w:eastAsia="Times New Roman"/>
          <w:color w:val="000000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Базового компоненту дошкільної освіти.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Педагогічні  працівники  закладу дошкільної освіти, здійснюючи моніторингові дослідження щодо рівня розвитку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дошкільників, використовують підготовлений інструментарій  (анкети, 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кваліметричні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>  моделі,  діагностичні  карти),  оцінюють результативність освітнього процесу та виявляють фактори, що впливають на його ефективність. Результат моніторингу узагальнюється педагогічними працівниками в текстовом</w:t>
      </w:r>
      <w:r w:rsidR="008818B2">
        <w:rPr>
          <w:rFonts w:eastAsia="Times New Roman"/>
          <w:color w:val="000000"/>
          <w:sz w:val="28"/>
          <w:szCs w:val="28"/>
          <w:lang w:eastAsia="uk-UA"/>
        </w:rPr>
        <w:t>у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, табличному та графічному вигляді.</w:t>
      </w:r>
      <w:r w:rsidRPr="00FA7401">
        <w:rPr>
          <w:rFonts w:eastAsia="Times New Roman"/>
          <w:color w:val="000000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Саме освітній моніторинг допомагає відстежити динаміку змін в освітній системі, спрямувати її розвиток на запланований результат.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Показниками ефективності освітнього процесу якості надання освітніх послуг можуть бути: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Arial" w:eastAsia="Times New Roman" w:hAnsi="Arial" w:cs="Arial"/>
          <w:i/>
          <w:iCs/>
          <w:color w:val="000000"/>
          <w:sz w:val="28"/>
          <w:lang w:eastAsia="uk-UA"/>
        </w:rPr>
        <w:t>-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% здобувачів освіти, які мають достатній і високий рівень компетентності;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позитивна динаміка розвитку дітей, засвоєння дітьми вимог комплексної програми;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- відповідність узагальнених показників результату освітньої  роботи (сформованість певного виду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>) змісту освітніх ліній, визначених інваріантною складовою Базового  компонента  дошкільної 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- 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перед її вступом до школи.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 6.5. Напрям </w:t>
      </w: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«Управління закладом освіти»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забезпечує функціонування внутрішньої системи забезпечення якості освіти. Критеріями ефективності управлінської діяльності є: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eastAsia="Times New Roman"/>
          <w:color w:val="686868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наявність</w:t>
      </w:r>
      <w:r w:rsidRPr="00FA7401">
        <w:rPr>
          <w:rFonts w:eastAsia="Times New Roman"/>
          <w:color w:val="000000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нормативних документів, де закріплені вимоги за якістю освітнього процесу (модель випускника, програма розвитку і т.д.);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оптимальність та дієвість управлінських рішень;</w:t>
      </w:r>
    </w:p>
    <w:p w:rsidR="00FA7401" w:rsidRPr="00FA7401" w:rsidRDefault="008818B2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-</w:t>
      </w:r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>керованість</w:t>
      </w:r>
      <w:proofErr w:type="spellEnd"/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 xml:space="preserve"> процесу управління</w:t>
      </w:r>
      <w:r w:rsidR="00FA7401"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 xml:space="preserve"> </w:t>
      </w:r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>забезпеченням функціонування внутрішньої системи забезпечення якості освіти (наявність</w:t>
      </w:r>
      <w:r w:rsidR="00FA7401"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="00FA7401" w:rsidRPr="00FA7401">
        <w:rPr>
          <w:rFonts w:eastAsia="Times New Roman"/>
          <w:color w:val="000000"/>
          <w:sz w:val="28"/>
          <w:szCs w:val="28"/>
          <w:lang w:eastAsia="uk-UA"/>
        </w:rPr>
        <w:t>підрозділу або посадової особи, які відповідають за управління якістю освітнього процесу);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формування освітньої програми закладу освіти (раціональність використання інваріантної, варіативної складової)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- підвищення показника відповідності засвоєних здобувачами освіти рівня та обсягу знань, умінь, навичок, інших </w:t>
      </w:r>
      <w:proofErr w:type="spellStart"/>
      <w:r w:rsidRPr="00FA7401">
        <w:rPr>
          <w:rFonts w:eastAsia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FA7401">
        <w:rPr>
          <w:rFonts w:eastAsia="Times New Roman"/>
          <w:color w:val="000000"/>
          <w:sz w:val="28"/>
          <w:szCs w:val="28"/>
          <w:lang w:eastAsia="uk-UA"/>
        </w:rPr>
        <w:t xml:space="preserve"> вимогам стандартів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- наявність та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ефективність системи моральних стимулів для досягнення високого рівня якості освітнього процесу.</w:t>
      </w:r>
    </w:p>
    <w:p w:rsidR="00FA7401" w:rsidRPr="00FA7401" w:rsidRDefault="00FA7401" w:rsidP="00FA7401">
      <w:pPr>
        <w:shd w:val="clear" w:color="auto" w:fill="FFFFFF"/>
        <w:spacing w:before="30" w:after="15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6.6.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Напрям </w:t>
      </w:r>
      <w:r w:rsidRPr="00FA7401">
        <w:rPr>
          <w:rFonts w:eastAsia="Times New Roman"/>
          <w:b/>
          <w:bCs/>
          <w:color w:val="000000"/>
          <w:sz w:val="28"/>
          <w:szCs w:val="28"/>
          <w:lang w:eastAsia="uk-UA"/>
        </w:rPr>
        <w:t>«Формування іміджу сучасного закладу освіти»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 в ЗДО здійснюється шляхом оприлюднення інформації про якість освітнього процесу, освітньої діяльності на сайті закладу: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статут закладу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ліцензія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на провадження освітньої діяльності;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структура та органи управління закладу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кадровий склад закладу освіти згідно з ліцензійними умовами;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   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освітні програми, що реалізуються в закладі освіти, та перелік освітніх компонентів, що передбачені відповідною освітньою програмою;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  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територія обслуговування, закріплена за закладом освіти його засновником (для закладів дошкільної та загальної середньої освіти);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мова (мови) освітнього процесу;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результати моніторингу якості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річний звіт про діяльність закладу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правила прийому до закладу освіти;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8"/>
          <w:szCs w:val="28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                 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умови доступності закладу освіти для навчання осіб з особливими освітніми потребами;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720"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Symbol" w:eastAsia="Times New Roman" w:hAnsi="Symbol" w:cs="Arial"/>
          <w:color w:val="000000"/>
          <w:sz w:val="23"/>
          <w:szCs w:val="23"/>
          <w:lang w:eastAsia="uk-UA"/>
        </w:rPr>
        <w:t></w:t>
      </w:r>
      <w:r w:rsidRPr="00FA7401">
        <w:rPr>
          <w:rFonts w:eastAsia="Times New Roman"/>
          <w:color w:val="000000"/>
          <w:sz w:val="14"/>
          <w:szCs w:val="14"/>
          <w:lang w:eastAsia="uk-UA"/>
        </w:rPr>
        <w:t>                  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інша інформація</w:t>
      </w:r>
      <w:r w:rsidRPr="00FA7401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, </w:t>
      </w:r>
      <w:r w:rsidRPr="00FA7401">
        <w:rPr>
          <w:rFonts w:eastAsia="Times New Roman"/>
          <w:color w:val="000000"/>
          <w:sz w:val="28"/>
          <w:szCs w:val="28"/>
          <w:lang w:eastAsia="uk-UA"/>
        </w:rPr>
        <w:t>що оприлюднюється за рішенням закладу освіти або на вимогу законодавства.</w:t>
      </w:r>
    </w:p>
    <w:p w:rsidR="00FA7401" w:rsidRPr="00FA7401" w:rsidRDefault="00FA7401" w:rsidP="00FA7401">
      <w:pPr>
        <w:shd w:val="clear" w:color="auto" w:fill="FFFFFF"/>
        <w:spacing w:after="0" w:line="240" w:lineRule="auto"/>
        <w:ind w:left="1429" w:right="-284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ascii="Arial" w:eastAsia="Times New Roman" w:hAnsi="Arial" w:cs="Arial"/>
          <w:color w:val="686868"/>
          <w:sz w:val="23"/>
          <w:szCs w:val="23"/>
          <w:lang w:eastAsia="uk-UA"/>
        </w:rPr>
        <w:t> </w:t>
      </w:r>
    </w:p>
    <w:p w:rsidR="00FA7401" w:rsidRPr="00FA7401" w:rsidRDefault="00FA7401" w:rsidP="0043281A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Публічність освітньої діяльності закладу може здійснюватися публікаціями педагогічних працівників, батьків у засобах масової інформації, друкування продукції педагогічних працівників у фахових виданнях.</w:t>
      </w:r>
    </w:p>
    <w:p w:rsidR="00FA7401" w:rsidRPr="00FA7401" w:rsidRDefault="00FA7401" w:rsidP="0043281A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color w:val="686868"/>
          <w:sz w:val="23"/>
          <w:szCs w:val="23"/>
          <w:lang w:eastAsia="uk-UA"/>
        </w:rPr>
      </w:pPr>
      <w:r w:rsidRPr="00FA7401">
        <w:rPr>
          <w:rFonts w:eastAsia="Times New Roman"/>
          <w:color w:val="000000"/>
          <w:sz w:val="28"/>
          <w:szCs w:val="28"/>
          <w:lang w:eastAsia="uk-UA"/>
        </w:rPr>
        <w:t>Формуванню позитивного іміджу закладу можуть сприяти іміджеві заходи на рівні громади, регіону тощо.</w:t>
      </w:r>
    </w:p>
    <w:p w:rsidR="00FA7401" w:rsidRPr="0043281A" w:rsidRDefault="0043281A" w:rsidP="0043281A">
      <w:pPr>
        <w:shd w:val="clear" w:color="auto" w:fill="FFFFFF"/>
        <w:spacing w:after="0" w:line="240" w:lineRule="auto"/>
        <w:jc w:val="both"/>
        <w:rPr>
          <w:rFonts w:eastAsia="Times New Roman"/>
          <w:color w:val="686868"/>
          <w:sz w:val="28"/>
          <w:szCs w:val="28"/>
          <w:lang w:eastAsia="uk-UA"/>
        </w:rPr>
      </w:pPr>
      <w:r>
        <w:rPr>
          <w:color w:val="212121"/>
          <w:sz w:val="28"/>
          <w:szCs w:val="28"/>
        </w:rPr>
        <w:t xml:space="preserve">       </w:t>
      </w:r>
      <w:r w:rsidRPr="0043281A">
        <w:rPr>
          <w:color w:val="212121"/>
          <w:sz w:val="28"/>
          <w:szCs w:val="28"/>
        </w:rPr>
        <w:t>Публічна інформація про розвиток закладу забезпечується шляхом проведення щорічного звіту на нараді при завідувачі та загальних батьківських зборах.</w:t>
      </w:r>
    </w:p>
    <w:p w:rsidR="00D3282B" w:rsidRPr="0043281A" w:rsidRDefault="00910723" w:rsidP="0043281A">
      <w:pPr>
        <w:jc w:val="both"/>
        <w:rPr>
          <w:sz w:val="28"/>
          <w:szCs w:val="28"/>
        </w:rPr>
      </w:pPr>
    </w:p>
    <w:sectPr w:rsidR="00D3282B" w:rsidRPr="0043281A" w:rsidSect="0043281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23" w:rsidRDefault="00910723" w:rsidP="00577AB6">
      <w:pPr>
        <w:spacing w:after="0" w:line="240" w:lineRule="auto"/>
      </w:pPr>
      <w:r>
        <w:separator/>
      </w:r>
    </w:p>
  </w:endnote>
  <w:endnote w:type="continuationSeparator" w:id="0">
    <w:p w:rsidR="00910723" w:rsidRDefault="00910723" w:rsidP="0057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23" w:rsidRDefault="00910723" w:rsidP="00577AB6">
      <w:pPr>
        <w:spacing w:after="0" w:line="240" w:lineRule="auto"/>
      </w:pPr>
      <w:r>
        <w:separator/>
      </w:r>
    </w:p>
  </w:footnote>
  <w:footnote w:type="continuationSeparator" w:id="0">
    <w:p w:rsidR="00910723" w:rsidRDefault="00910723" w:rsidP="0057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6DE9"/>
    <w:multiLevelType w:val="multilevel"/>
    <w:tmpl w:val="7FF0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401"/>
    <w:rsid w:val="00013875"/>
    <w:rsid w:val="000B6B5C"/>
    <w:rsid w:val="000E1545"/>
    <w:rsid w:val="000E6299"/>
    <w:rsid w:val="00132DD3"/>
    <w:rsid w:val="001A15BD"/>
    <w:rsid w:val="002407BC"/>
    <w:rsid w:val="002A477A"/>
    <w:rsid w:val="002B10AC"/>
    <w:rsid w:val="002F0A22"/>
    <w:rsid w:val="003661FF"/>
    <w:rsid w:val="00367639"/>
    <w:rsid w:val="0043281A"/>
    <w:rsid w:val="004370B1"/>
    <w:rsid w:val="004F4025"/>
    <w:rsid w:val="00507753"/>
    <w:rsid w:val="00541937"/>
    <w:rsid w:val="00577AB6"/>
    <w:rsid w:val="00597AC9"/>
    <w:rsid w:val="005E58F7"/>
    <w:rsid w:val="00652E90"/>
    <w:rsid w:val="006914E2"/>
    <w:rsid w:val="006B62FF"/>
    <w:rsid w:val="006D3D98"/>
    <w:rsid w:val="006D7EC0"/>
    <w:rsid w:val="006E43EB"/>
    <w:rsid w:val="007008F0"/>
    <w:rsid w:val="007036DD"/>
    <w:rsid w:val="007565AB"/>
    <w:rsid w:val="007A2704"/>
    <w:rsid w:val="007A6C42"/>
    <w:rsid w:val="007F3AEA"/>
    <w:rsid w:val="0080564A"/>
    <w:rsid w:val="00826800"/>
    <w:rsid w:val="008818B2"/>
    <w:rsid w:val="008C0A84"/>
    <w:rsid w:val="008F7B02"/>
    <w:rsid w:val="00910723"/>
    <w:rsid w:val="00916C8E"/>
    <w:rsid w:val="0094093E"/>
    <w:rsid w:val="00953E66"/>
    <w:rsid w:val="009E724D"/>
    <w:rsid w:val="009F25CE"/>
    <w:rsid w:val="00A148E8"/>
    <w:rsid w:val="00A45BA2"/>
    <w:rsid w:val="00A7012D"/>
    <w:rsid w:val="00A7700D"/>
    <w:rsid w:val="00A908FA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560B5"/>
    <w:rsid w:val="00D91A4B"/>
    <w:rsid w:val="00E11750"/>
    <w:rsid w:val="00E274A5"/>
    <w:rsid w:val="00E40195"/>
    <w:rsid w:val="00E61D5A"/>
    <w:rsid w:val="00EF0291"/>
    <w:rsid w:val="00F204B6"/>
    <w:rsid w:val="00F712A1"/>
    <w:rsid w:val="00F75BFB"/>
    <w:rsid w:val="00F86CDC"/>
    <w:rsid w:val="00F97EF9"/>
    <w:rsid w:val="00FA7401"/>
    <w:rsid w:val="00FD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3">
    <w:name w:val="heading 3"/>
    <w:basedOn w:val="a"/>
    <w:link w:val="30"/>
    <w:uiPriority w:val="9"/>
    <w:qFormat/>
    <w:rsid w:val="007036D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740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4">
    <w:name w:val="List Paragraph"/>
    <w:basedOn w:val="a"/>
    <w:uiPriority w:val="34"/>
    <w:qFormat/>
    <w:rsid w:val="00FA740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semiHidden/>
    <w:unhideWhenUsed/>
    <w:rsid w:val="00FA7401"/>
    <w:rPr>
      <w:color w:val="0000FF"/>
      <w:u w:val="single"/>
    </w:rPr>
  </w:style>
  <w:style w:type="character" w:styleId="a6">
    <w:name w:val="Emphasis"/>
    <w:basedOn w:val="a0"/>
    <w:uiPriority w:val="20"/>
    <w:qFormat/>
    <w:rsid w:val="00FA7401"/>
    <w:rPr>
      <w:i/>
      <w:iCs/>
    </w:rPr>
  </w:style>
  <w:style w:type="paragraph" w:styleId="a7">
    <w:name w:val="Normal (Web)"/>
    <w:basedOn w:val="a"/>
    <w:uiPriority w:val="99"/>
    <w:semiHidden/>
    <w:unhideWhenUsed/>
    <w:rsid w:val="00FA740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loggedout">
    <w:name w:val="loggedout"/>
    <w:basedOn w:val="a0"/>
    <w:rsid w:val="00FA7401"/>
  </w:style>
  <w:style w:type="paragraph" w:customStyle="1" w:styleId="pull-left">
    <w:name w:val="pull-left"/>
    <w:basedOn w:val="a"/>
    <w:rsid w:val="00FA740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8">
    <w:name w:val="Strong"/>
    <w:basedOn w:val="a0"/>
    <w:uiPriority w:val="22"/>
    <w:qFormat/>
    <w:rsid w:val="00FA740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36DD"/>
    <w:rPr>
      <w:rFonts w:eastAsia="Times New Roman"/>
      <w:b/>
      <w:bCs/>
      <w:sz w:val="27"/>
      <w:szCs w:val="27"/>
      <w:lang w:eastAsia="uk-UA"/>
    </w:rPr>
  </w:style>
  <w:style w:type="character" w:styleId="HTML">
    <w:name w:val="HTML Cite"/>
    <w:basedOn w:val="a0"/>
    <w:uiPriority w:val="99"/>
    <w:semiHidden/>
    <w:unhideWhenUsed/>
    <w:rsid w:val="007036DD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577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77AB6"/>
  </w:style>
  <w:style w:type="paragraph" w:styleId="ab">
    <w:name w:val="footer"/>
    <w:basedOn w:val="a"/>
    <w:link w:val="ac"/>
    <w:uiPriority w:val="99"/>
    <w:semiHidden/>
    <w:unhideWhenUsed/>
    <w:rsid w:val="00577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7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073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9331">
              <w:marLeft w:val="0"/>
              <w:marRight w:val="0"/>
              <w:marTop w:val="2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6575</Words>
  <Characters>3748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15</cp:revision>
  <cp:lastPrinted>2021-01-19T08:50:00Z</cp:lastPrinted>
  <dcterms:created xsi:type="dcterms:W3CDTF">2020-12-28T13:02:00Z</dcterms:created>
  <dcterms:modified xsi:type="dcterms:W3CDTF">2021-12-20T09:15:00Z</dcterms:modified>
</cp:coreProperties>
</file>