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03" w:rsidRDefault="00C74A03" w:rsidP="00C74A03">
      <w:pPr>
        <w:pStyle w:val="a5"/>
        <w:rPr>
          <w:rFonts w:ascii="Times New Roman" w:hAnsi="Times New Roman" w:cs="Times New Roman"/>
          <w:sz w:val="26"/>
          <w:szCs w:val="26"/>
          <w:lang w:eastAsia="uk-UA"/>
        </w:rPr>
      </w:pPr>
      <w:r w:rsidRPr="00007A43">
        <w:rPr>
          <w:lang w:val="ru-RU"/>
        </w:rPr>
        <w:t xml:space="preserve">                                                                                                                         </w:t>
      </w:r>
      <w:r w:rsidRPr="00653B57">
        <w:rPr>
          <w:rFonts w:ascii="Times New Roman" w:hAnsi="Times New Roman" w:cs="Times New Roman"/>
          <w:sz w:val="26"/>
          <w:szCs w:val="26"/>
          <w:lang w:eastAsia="uk-UA"/>
        </w:rPr>
        <w:t xml:space="preserve">                 ЗАТВЕРДЖЕНО</w:t>
      </w:r>
    </w:p>
    <w:p w:rsidR="00C74A03" w:rsidRPr="00653B57" w:rsidRDefault="00C74A03" w:rsidP="00C74A03">
      <w:pPr>
        <w:pStyle w:val="a5"/>
        <w:rPr>
          <w:rFonts w:ascii="Times New Roman" w:hAnsi="Times New Roman" w:cs="Times New Roman"/>
          <w:sz w:val="26"/>
          <w:szCs w:val="26"/>
          <w:lang w:eastAsia="uk-UA"/>
        </w:rPr>
      </w:pPr>
    </w:p>
    <w:p w:rsidR="00C74A03" w:rsidRPr="00653B57" w:rsidRDefault="00C74A03" w:rsidP="00C74A03">
      <w:pPr>
        <w:pStyle w:val="a5"/>
        <w:rPr>
          <w:rFonts w:ascii="Times New Roman" w:hAnsi="Times New Roman" w:cs="Times New Roman"/>
          <w:sz w:val="26"/>
          <w:szCs w:val="26"/>
          <w:lang w:val="ru-RU" w:eastAsia="uk-UA"/>
        </w:rPr>
      </w:pPr>
      <w:r w:rsidRPr="00653B57">
        <w:rPr>
          <w:rFonts w:ascii="Times New Roman" w:hAnsi="Times New Roman" w:cs="Times New Roman"/>
          <w:sz w:val="26"/>
          <w:szCs w:val="26"/>
          <w:lang w:val="ru-RU" w:eastAsia="uk-UA"/>
        </w:rPr>
        <w:t xml:space="preserve">                                                                                                           </w:t>
      </w:r>
      <w:r>
        <w:rPr>
          <w:rFonts w:ascii="Times New Roman" w:hAnsi="Times New Roman" w:cs="Times New Roman"/>
          <w:sz w:val="26"/>
          <w:szCs w:val="26"/>
          <w:lang w:val="ru-RU" w:eastAsia="uk-UA"/>
        </w:rPr>
        <w:t xml:space="preserve">   </w:t>
      </w:r>
      <w:r>
        <w:rPr>
          <w:rFonts w:ascii="Times New Roman" w:hAnsi="Times New Roman" w:cs="Times New Roman"/>
          <w:sz w:val="26"/>
          <w:szCs w:val="26"/>
          <w:lang w:eastAsia="uk-UA"/>
        </w:rPr>
        <w:t>наказ</w:t>
      </w:r>
      <w:r w:rsidRPr="00653B57">
        <w:rPr>
          <w:rFonts w:ascii="Times New Roman" w:hAnsi="Times New Roman" w:cs="Times New Roman"/>
          <w:sz w:val="26"/>
          <w:szCs w:val="26"/>
          <w:lang w:eastAsia="uk-UA"/>
        </w:rPr>
        <w:t xml:space="preserve"> ЗДО № </w:t>
      </w:r>
      <w:r>
        <w:rPr>
          <w:rFonts w:ascii="Times New Roman" w:hAnsi="Times New Roman" w:cs="Times New Roman"/>
          <w:sz w:val="26"/>
          <w:szCs w:val="26"/>
          <w:lang w:val="ru-RU" w:eastAsia="uk-UA"/>
        </w:rPr>
        <w:t>6</w:t>
      </w:r>
    </w:p>
    <w:p w:rsidR="00C74A03" w:rsidRPr="00723B0A" w:rsidRDefault="00C74A03" w:rsidP="00C74A03">
      <w:pPr>
        <w:pStyle w:val="a5"/>
        <w:rPr>
          <w:rFonts w:ascii="Times New Roman" w:hAnsi="Times New Roman" w:cs="Times New Roman"/>
          <w:sz w:val="26"/>
          <w:szCs w:val="26"/>
          <w:lang w:eastAsia="uk-UA"/>
        </w:rPr>
      </w:pPr>
      <w:r w:rsidRPr="00653B57">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від 03</w:t>
      </w:r>
      <w:r w:rsidRPr="00723B0A">
        <w:rPr>
          <w:rFonts w:ascii="Times New Roman" w:hAnsi="Times New Roman" w:cs="Times New Roman"/>
          <w:sz w:val="26"/>
          <w:szCs w:val="26"/>
          <w:lang w:eastAsia="uk-UA"/>
        </w:rPr>
        <w:t>.0</w:t>
      </w:r>
      <w:r>
        <w:rPr>
          <w:rFonts w:ascii="Times New Roman" w:hAnsi="Times New Roman" w:cs="Times New Roman"/>
          <w:sz w:val="26"/>
          <w:szCs w:val="26"/>
          <w:lang w:eastAsia="uk-UA"/>
        </w:rPr>
        <w:t>9</w:t>
      </w:r>
      <w:r w:rsidRPr="00723B0A">
        <w:rPr>
          <w:rFonts w:ascii="Times New Roman" w:hAnsi="Times New Roman" w:cs="Times New Roman"/>
          <w:sz w:val="26"/>
          <w:szCs w:val="26"/>
          <w:lang w:eastAsia="uk-UA"/>
        </w:rPr>
        <w:t>.202</w:t>
      </w:r>
      <w:r>
        <w:rPr>
          <w:rFonts w:ascii="Times New Roman" w:hAnsi="Times New Roman" w:cs="Times New Roman"/>
          <w:sz w:val="26"/>
          <w:szCs w:val="26"/>
          <w:lang w:eastAsia="uk-UA"/>
        </w:rPr>
        <w:t>4</w:t>
      </w:r>
      <w:r w:rsidRPr="00723B0A">
        <w:rPr>
          <w:rFonts w:ascii="Times New Roman" w:hAnsi="Times New Roman" w:cs="Times New Roman"/>
          <w:sz w:val="26"/>
          <w:szCs w:val="26"/>
          <w:lang w:eastAsia="uk-UA"/>
        </w:rPr>
        <w:t xml:space="preserve"> </w:t>
      </w:r>
      <w:r w:rsidRPr="00723B0A">
        <w:rPr>
          <w:rFonts w:ascii="Times New Roman" w:hAnsi="Times New Roman" w:cs="Times New Roman"/>
          <w:sz w:val="26"/>
          <w:szCs w:val="26"/>
          <w:lang w:val="ru-RU" w:eastAsia="uk-UA"/>
        </w:rPr>
        <w:t xml:space="preserve">№ </w:t>
      </w:r>
      <w:r>
        <w:rPr>
          <w:rFonts w:ascii="Times New Roman" w:hAnsi="Times New Roman" w:cs="Times New Roman"/>
          <w:sz w:val="26"/>
          <w:szCs w:val="26"/>
          <w:lang w:val="ru-RU" w:eastAsia="uk-UA"/>
        </w:rPr>
        <w:t>55</w:t>
      </w:r>
    </w:p>
    <w:p w:rsidR="00C74A03" w:rsidRPr="00C74A03" w:rsidRDefault="00C74A03" w:rsidP="00C74A03">
      <w:pPr>
        <w:pStyle w:val="a3"/>
        <w:shd w:val="clear" w:color="auto" w:fill="FFFFFF"/>
        <w:spacing w:before="0" w:beforeAutospacing="0" w:after="270" w:afterAutospacing="0"/>
        <w:jc w:val="center"/>
        <w:rPr>
          <w:color w:val="000000"/>
          <w:sz w:val="28"/>
          <w:szCs w:val="28"/>
        </w:rPr>
      </w:pPr>
      <w:bookmarkStart w:id="0" w:name="_GoBack"/>
      <w:bookmarkEnd w:id="0"/>
      <w:r w:rsidRPr="00C74A03">
        <w:rPr>
          <w:rStyle w:val="a4"/>
          <w:color w:val="0B0706"/>
          <w:sz w:val="28"/>
          <w:szCs w:val="28"/>
        </w:rPr>
        <w:t>ПОРЯДОК</w:t>
      </w:r>
    </w:p>
    <w:p w:rsidR="00C74A03" w:rsidRPr="00C74A03" w:rsidRDefault="00C74A03" w:rsidP="00C74A03">
      <w:pPr>
        <w:pStyle w:val="a3"/>
        <w:shd w:val="clear" w:color="auto" w:fill="FFFFFF"/>
        <w:spacing w:before="0" w:beforeAutospacing="0" w:after="270" w:afterAutospacing="0"/>
        <w:jc w:val="center"/>
        <w:rPr>
          <w:color w:val="000000"/>
          <w:sz w:val="28"/>
          <w:szCs w:val="28"/>
        </w:rPr>
      </w:pPr>
      <w:r w:rsidRPr="00C74A03">
        <w:rPr>
          <w:rStyle w:val="a4"/>
          <w:color w:val="0B0706"/>
          <w:sz w:val="28"/>
          <w:szCs w:val="28"/>
        </w:rPr>
        <w:t>подання та терміни розгляду (з дотриманням конфіденційності) заяв</w:t>
      </w:r>
    </w:p>
    <w:p w:rsidR="00C74A03" w:rsidRPr="00C74A03" w:rsidRDefault="00C74A03" w:rsidP="00C74A03">
      <w:pPr>
        <w:pStyle w:val="a3"/>
        <w:shd w:val="clear" w:color="auto" w:fill="FFFFFF"/>
        <w:spacing w:before="0" w:beforeAutospacing="0" w:after="270" w:afterAutospacing="0"/>
        <w:jc w:val="center"/>
        <w:rPr>
          <w:color w:val="000000"/>
          <w:sz w:val="28"/>
          <w:szCs w:val="28"/>
        </w:rPr>
      </w:pPr>
      <w:r w:rsidRPr="00C74A03">
        <w:rPr>
          <w:rStyle w:val="a4"/>
          <w:color w:val="0B0706"/>
          <w:sz w:val="28"/>
          <w:szCs w:val="28"/>
        </w:rPr>
        <w:t>про випадки булінгу (цькуванню) в школі.</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Загальні питання.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2. Цей Порядок визначає процедуру подання та розгляду заяв про випадки булінгу (цькуванню).</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3. Заявниками можуть бути здобувачі освіти, їх батьки/законні представники,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працівники та педагогічні працівники школи та інші особи.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4. Заявник забезпечує достовірність та повноту наданої інформації.</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5. У цьому Порядку терміни вживаються у таких значеннях:</w:t>
      </w:r>
    </w:p>
    <w:p w:rsidR="00C74A03" w:rsidRPr="00C74A03" w:rsidRDefault="00C74A03" w:rsidP="00C74A03">
      <w:pPr>
        <w:pStyle w:val="a3"/>
        <w:shd w:val="clear" w:color="auto" w:fill="FFFFFF"/>
        <w:spacing w:before="0" w:beforeAutospacing="0" w:after="270" w:afterAutospacing="0"/>
        <w:jc w:val="both"/>
        <w:rPr>
          <w:color w:val="000000"/>
          <w:sz w:val="28"/>
          <w:szCs w:val="28"/>
        </w:rPr>
      </w:pPr>
      <w:proofErr w:type="spellStart"/>
      <w:r w:rsidRPr="00C74A03">
        <w:rPr>
          <w:color w:val="0B0706"/>
          <w:sz w:val="28"/>
          <w:szCs w:val="28"/>
        </w:rPr>
        <w:t>Булінг</w:t>
      </w:r>
      <w:proofErr w:type="spellEnd"/>
      <w:r w:rsidRPr="00C74A03">
        <w:rPr>
          <w:color w:val="0B0706"/>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Типовими ознаками булінгу (цькування) є</w:t>
      </w:r>
      <w:r w:rsidRPr="00C74A03">
        <w:rPr>
          <w:color w:val="0B0706"/>
          <w:sz w:val="28"/>
          <w:szCs w:val="28"/>
        </w:rPr>
        <w:t>:</w:t>
      </w:r>
    </w:p>
    <w:p w:rsidR="00C74A03" w:rsidRPr="00C74A03" w:rsidRDefault="00C74A03" w:rsidP="00C74A03">
      <w:pPr>
        <w:pStyle w:val="a3"/>
        <w:numPr>
          <w:ilvl w:val="0"/>
          <w:numId w:val="1"/>
        </w:numPr>
        <w:shd w:val="clear" w:color="auto" w:fill="FFFFFF"/>
        <w:spacing w:before="0" w:beforeAutospacing="0" w:after="270" w:afterAutospacing="0"/>
        <w:ind w:left="0"/>
        <w:jc w:val="both"/>
        <w:rPr>
          <w:color w:val="000000"/>
          <w:sz w:val="28"/>
          <w:szCs w:val="28"/>
        </w:rPr>
      </w:pPr>
      <w:r w:rsidRPr="00C74A03">
        <w:rPr>
          <w:color w:val="0B0706"/>
          <w:sz w:val="28"/>
          <w:szCs w:val="28"/>
        </w:rPr>
        <w:t>систематичність (повторюваність) діяння;</w:t>
      </w:r>
    </w:p>
    <w:p w:rsidR="00C74A03" w:rsidRPr="00C74A03" w:rsidRDefault="00C74A03" w:rsidP="00C74A03">
      <w:pPr>
        <w:pStyle w:val="a3"/>
        <w:numPr>
          <w:ilvl w:val="0"/>
          <w:numId w:val="1"/>
        </w:numPr>
        <w:shd w:val="clear" w:color="auto" w:fill="FFFFFF"/>
        <w:spacing w:before="0" w:beforeAutospacing="0" w:after="270" w:afterAutospacing="0"/>
        <w:ind w:left="0"/>
        <w:jc w:val="both"/>
        <w:rPr>
          <w:color w:val="000000"/>
          <w:sz w:val="28"/>
          <w:szCs w:val="28"/>
        </w:rPr>
      </w:pPr>
      <w:r w:rsidRPr="00C74A03">
        <w:rPr>
          <w:color w:val="0B0706"/>
          <w:sz w:val="28"/>
          <w:szCs w:val="28"/>
        </w:rPr>
        <w:t>наявність сторін – кривдник (</w:t>
      </w:r>
      <w:proofErr w:type="spellStart"/>
      <w:r w:rsidRPr="00C74A03">
        <w:rPr>
          <w:color w:val="0B0706"/>
          <w:sz w:val="28"/>
          <w:szCs w:val="28"/>
        </w:rPr>
        <w:t>булер</w:t>
      </w:r>
      <w:proofErr w:type="spellEnd"/>
      <w:r w:rsidRPr="00C74A03">
        <w:rPr>
          <w:color w:val="0B0706"/>
          <w:sz w:val="28"/>
          <w:szCs w:val="28"/>
        </w:rPr>
        <w:t>), потерпілий (жертва булінгу), спостерігачі (за наявності);</w:t>
      </w:r>
    </w:p>
    <w:p w:rsidR="00C74A03" w:rsidRPr="00C74A03" w:rsidRDefault="00C74A03" w:rsidP="00C74A03">
      <w:pPr>
        <w:pStyle w:val="a3"/>
        <w:numPr>
          <w:ilvl w:val="0"/>
          <w:numId w:val="1"/>
        </w:numPr>
        <w:shd w:val="clear" w:color="auto" w:fill="FFFFFF"/>
        <w:spacing w:before="0" w:beforeAutospacing="0" w:after="270" w:afterAutospacing="0"/>
        <w:ind w:left="0"/>
        <w:jc w:val="both"/>
        <w:rPr>
          <w:color w:val="000000"/>
          <w:sz w:val="28"/>
          <w:szCs w:val="28"/>
        </w:rPr>
      </w:pPr>
      <w:r w:rsidRPr="00C74A03">
        <w:rPr>
          <w:color w:val="0B0706"/>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Подання заяви про випадки булінгу (цькуванню)</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1. Здобувачі освіти, працівники та педагогічні працівники, батьки та інші учасники освітнього процесу, яким стало відомо про випадки булінгу </w:t>
      </w:r>
      <w:r w:rsidRPr="00C74A03">
        <w:rPr>
          <w:color w:val="0B0706"/>
          <w:sz w:val="28"/>
          <w:szCs w:val="28"/>
        </w:rPr>
        <w:lastRenderedPageBreak/>
        <w:t>(цькування),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директору школи.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2. Розгляд та неупереджене з’ясування обставин випадків булінгу(цькування) здійснюється відповідно до поданих заявниками заяв про випадки булінгу (цькування) (далі – Заява).</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3. Заяви, що надійшли на електронну пошту школи отримує секретар-друкарка, яка зобов’язана терміново повідомити керівника закладу та відповідальну особу.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4. Прийом та реєстрацію поданих Заяв здійснює відповідальна особа, а в разі її відсутності – особисто директор або його заступник.</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5. Заяви реєструються в окремому журналі реєстрації заяв про випадки булінгу (цькування).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6. Форма та примірний зміст Заяви оприлюднюється на офіційному веб-сайті закладу.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7. Датою подання заяв є дата їх прийняття.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8. Розгляд Заяв здійснює директор з дотриманням конфіденційності.</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Комісія з розгляду випадків булінгу (цькування)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1. За результатами розгляду Заяви директор школи видає рішення про проведення розслідування випадків булінгу (цькування) із визначенням уповноважених осіб.</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2. З метою розслідування випадків булінгу (цькування) уповноважені особи мають право вимагати письмові пояснення та матеріали у сторін.</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3. Для прийняття рішення за результатами розслідування директор створює комісію з розгляду випадків булінгу (цькування) (далі – Комісія) та скликає засідання.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4. Комісія створюється наказом директора школи.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C74A03">
        <w:rPr>
          <w:color w:val="0B0706"/>
          <w:sz w:val="28"/>
          <w:szCs w:val="28"/>
        </w:rPr>
        <w:t>булера</w:t>
      </w:r>
      <w:proofErr w:type="spellEnd"/>
      <w:r w:rsidRPr="00C74A03">
        <w:rPr>
          <w:color w:val="0B0706"/>
          <w:sz w:val="28"/>
          <w:szCs w:val="28"/>
        </w:rPr>
        <w:t>, директор та інші заінтересовані особи.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6. Комісія у своїй діяльності керується законодавством України та іншими нормативними актами.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lastRenderedPageBreak/>
        <w:t xml:space="preserve">7. Якщо Комісія визначила, що це був </w:t>
      </w:r>
      <w:proofErr w:type="spellStart"/>
      <w:r w:rsidRPr="00C74A03">
        <w:rPr>
          <w:color w:val="0B0706"/>
          <w:sz w:val="28"/>
          <w:szCs w:val="28"/>
        </w:rPr>
        <w:t>булінг</w:t>
      </w:r>
      <w:proofErr w:type="spellEnd"/>
      <w:r w:rsidRPr="00C74A03">
        <w:rPr>
          <w:color w:val="0B0706"/>
          <w:sz w:val="28"/>
          <w:szCs w:val="28"/>
        </w:rPr>
        <w:t xml:space="preserve"> (цькування), а не одноразовий конфлікт чи сварка, тобто відповідні дії носять систематичний характер, то директор зобов’язаний повідомити уповноважені органи Національної поліції (ювенальна поліція) та службу у справах дітей.</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8. У разі, якщо Комісія не кваліфікує випадок як </w:t>
      </w:r>
      <w:proofErr w:type="spellStart"/>
      <w:r w:rsidRPr="00C74A03">
        <w:rPr>
          <w:color w:val="0B0706"/>
          <w:sz w:val="28"/>
          <w:szCs w:val="28"/>
        </w:rPr>
        <w:t>булінг</w:t>
      </w:r>
      <w:proofErr w:type="spellEnd"/>
      <w:r w:rsidRPr="00C74A03">
        <w:rPr>
          <w:color w:val="0B0706"/>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11. Батьки зобов’язані виконувати рішення та рекомендації Комісії.</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Терміни подання та розгляду Заяв</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1. Заявники зобов’язані терміново повідомляти керівнику закладу про випадки булінгу (цькування), а також подати Заяву.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5. Директор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Реагування на доведені випадки булінгу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1. На основі рішення комісії з розгляду випадків булінгу (цькування), яка кваліфікувала випадок як </w:t>
      </w:r>
      <w:proofErr w:type="spellStart"/>
      <w:r w:rsidRPr="00C74A03">
        <w:rPr>
          <w:color w:val="0B0706"/>
          <w:sz w:val="28"/>
          <w:szCs w:val="28"/>
        </w:rPr>
        <w:t>булінг</w:t>
      </w:r>
      <w:proofErr w:type="spellEnd"/>
      <w:r w:rsidRPr="00C74A03">
        <w:rPr>
          <w:color w:val="0B0706"/>
          <w:sz w:val="28"/>
          <w:szCs w:val="28"/>
        </w:rPr>
        <w:t xml:space="preserve"> (цькування), а не одноразовий конфлікт чи сварка, тобто відповідні дії носять систематичний характер, директор :</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lastRenderedPageBreak/>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C74A03">
        <w:rPr>
          <w:color w:val="0B0706"/>
          <w:sz w:val="28"/>
          <w:szCs w:val="28"/>
        </w:rPr>
        <w:t>булінг</w:t>
      </w:r>
      <w:proofErr w:type="spellEnd"/>
      <w:r w:rsidRPr="00C74A03">
        <w:rPr>
          <w:color w:val="0B0706"/>
          <w:sz w:val="28"/>
          <w:szCs w:val="28"/>
        </w:rPr>
        <w:t>, стали його свідками або постраждали від булінгу (цькування) (далі – Заходи).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2. Заходи здійснюються заступником директора з виховної роботи у взаємодії з практичним психологом та затверджуються директором закладу.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rStyle w:val="a4"/>
          <w:color w:val="0B0706"/>
          <w:sz w:val="28"/>
          <w:szCs w:val="28"/>
        </w:rPr>
        <w:t>Відповідальність осіб причетних до булінгу (цькування)</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1. Відповідальність за </w:t>
      </w:r>
      <w:proofErr w:type="spellStart"/>
      <w:r w:rsidRPr="00C74A03">
        <w:rPr>
          <w:color w:val="0B0706"/>
          <w:sz w:val="28"/>
          <w:szCs w:val="28"/>
        </w:rPr>
        <w:t>булінг</w:t>
      </w:r>
      <w:proofErr w:type="spellEnd"/>
      <w:r w:rsidRPr="00C74A03">
        <w:rPr>
          <w:color w:val="0B0706"/>
          <w:sz w:val="28"/>
          <w:szCs w:val="28"/>
        </w:rPr>
        <w:t xml:space="preserve"> (цькування) встановлена статтею 173 п.4 Кодексу України про адміністративні правопорушення такого змісту:</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«Стаття 173 п.4» . </w:t>
      </w:r>
      <w:proofErr w:type="spellStart"/>
      <w:r w:rsidRPr="00C74A03">
        <w:rPr>
          <w:color w:val="0B0706"/>
          <w:sz w:val="28"/>
          <w:szCs w:val="28"/>
        </w:rPr>
        <w:t>Булінг</w:t>
      </w:r>
      <w:proofErr w:type="spellEnd"/>
      <w:r w:rsidRPr="00C74A03">
        <w:rPr>
          <w:color w:val="0B0706"/>
          <w:sz w:val="28"/>
          <w:szCs w:val="28"/>
        </w:rPr>
        <w:t xml:space="preserve"> (цькування) учасника освітнього процесу.</w:t>
      </w:r>
    </w:p>
    <w:p w:rsidR="00C74A03" w:rsidRPr="00C74A03" w:rsidRDefault="00C74A03" w:rsidP="00C74A03">
      <w:pPr>
        <w:pStyle w:val="a3"/>
        <w:shd w:val="clear" w:color="auto" w:fill="FFFFFF"/>
        <w:spacing w:before="0" w:beforeAutospacing="0" w:after="270" w:afterAutospacing="0"/>
        <w:jc w:val="both"/>
        <w:rPr>
          <w:color w:val="000000"/>
          <w:sz w:val="28"/>
          <w:szCs w:val="28"/>
        </w:rPr>
      </w:pPr>
      <w:proofErr w:type="spellStart"/>
      <w:r w:rsidRPr="00C74A03">
        <w:rPr>
          <w:color w:val="0B0706"/>
          <w:sz w:val="28"/>
          <w:szCs w:val="28"/>
        </w:rPr>
        <w:t>Булінг</w:t>
      </w:r>
      <w:proofErr w:type="spellEnd"/>
      <w:r w:rsidRPr="00C74A03">
        <w:rPr>
          <w:color w:val="0B0706"/>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proofErr w:type="spellStart"/>
      <w:r w:rsidRPr="00C74A03">
        <w:rPr>
          <w:color w:val="0B0706"/>
          <w:sz w:val="28"/>
          <w:szCs w:val="28"/>
        </w:rPr>
        <w:t>-тягне</w:t>
      </w:r>
      <w:proofErr w:type="spellEnd"/>
      <w:r w:rsidRPr="00C74A03">
        <w:rPr>
          <w:color w:val="0B0706"/>
          <w:sz w:val="28"/>
          <w:szCs w:val="28"/>
        </w:rPr>
        <w:t xml:space="preserve">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C74A03" w:rsidRPr="00C74A03" w:rsidRDefault="00C74A03" w:rsidP="00C74A03">
      <w:pPr>
        <w:pStyle w:val="a3"/>
        <w:shd w:val="clear" w:color="auto" w:fill="FFFFFF"/>
        <w:spacing w:before="0" w:beforeAutospacing="0" w:after="270" w:afterAutospacing="0"/>
        <w:jc w:val="both"/>
        <w:rPr>
          <w:color w:val="000000"/>
          <w:sz w:val="28"/>
          <w:szCs w:val="28"/>
        </w:rPr>
      </w:pPr>
      <w:r w:rsidRPr="00C74A03">
        <w:rPr>
          <w:color w:val="0B0706"/>
          <w:sz w:val="28"/>
          <w:szCs w:val="28"/>
        </w:rPr>
        <w:t xml:space="preserve">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w:t>
      </w:r>
      <w:r w:rsidRPr="00C74A03">
        <w:rPr>
          <w:color w:val="0B0706"/>
          <w:sz w:val="28"/>
          <w:szCs w:val="28"/>
        </w:rPr>
        <w:lastRenderedPageBreak/>
        <w:t>неоподатковуваних мінімумів доходів громадян або виправні роботи на строк до одного місяця з відрахуванням до двадцяти процентів заробітку.</w:t>
      </w:r>
    </w:p>
    <w:p w:rsidR="00453AC6" w:rsidRPr="00C74A03" w:rsidRDefault="00453AC6" w:rsidP="00C74A03">
      <w:pPr>
        <w:jc w:val="both"/>
        <w:rPr>
          <w:rFonts w:ascii="Times New Roman" w:hAnsi="Times New Roman" w:cs="Times New Roman"/>
          <w:sz w:val="28"/>
          <w:szCs w:val="28"/>
        </w:rPr>
      </w:pPr>
    </w:p>
    <w:sectPr w:rsidR="00453AC6" w:rsidRPr="00C74A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D48CD"/>
    <w:multiLevelType w:val="multilevel"/>
    <w:tmpl w:val="4DAE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37"/>
    <w:rsid w:val="00453AC6"/>
    <w:rsid w:val="00C74A03"/>
    <w:rsid w:val="00DC70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A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74A03"/>
    <w:rPr>
      <w:b/>
      <w:bCs/>
    </w:rPr>
  </w:style>
  <w:style w:type="paragraph" w:styleId="a5">
    <w:name w:val="No Spacing"/>
    <w:uiPriority w:val="1"/>
    <w:qFormat/>
    <w:rsid w:val="00C74A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A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74A03"/>
    <w:rPr>
      <w:b/>
      <w:bCs/>
    </w:rPr>
  </w:style>
  <w:style w:type="paragraph" w:styleId="a5">
    <w:name w:val="No Spacing"/>
    <w:uiPriority w:val="1"/>
    <w:qFormat/>
    <w:rsid w:val="00C74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5576</Words>
  <Characters>3179</Characters>
  <Application>Microsoft Office Word</Application>
  <DocSecurity>0</DocSecurity>
  <Lines>26</Lines>
  <Paragraphs>17</Paragraphs>
  <ScaleCrop>false</ScaleCrop>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2025-09-09T11:27:00Z</dcterms:created>
  <dcterms:modified xsi:type="dcterms:W3CDTF">2025-09-09T11:27:00Z</dcterms:modified>
</cp:coreProperties>
</file>