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84" w:rsidRPr="002772FB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                                                                                     п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едагогічною радою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                                                                                     п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ротокол №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01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від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25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02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.20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21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року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ПОЛОЖЕННЯ ПРО АКАДЕМІЧНУ ДОБРОЧЕСНІСТЬ УЧАСНИКІВ ОСВІТНЬОГО ПРОЦЕСУ 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І. ЗАГАЛЬНІ ПОЛОЖЕННЯ</w:t>
      </w:r>
    </w:p>
    <w:p w:rsidR="000C7384" w:rsidRPr="002772FB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ab/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Положення про академічну доброчесність (далі - Положення) закріплює норми та правила етичної поведінки, професійного спілкування між учасниками освітнього процесу , зокрема : між педагогічними працівниками закладу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2.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 Положення розроблено на основі Конституції України, Законів України «Про освіту», «Про дошкільну освіту», «Про запобігання корупції», «Про авторські та суміжні права», Цивільного Кодексу України, Статуту закладу, Правил внутрішнього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трудового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розпорядку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Колективного договору,  та інших нормативно-правових актів чинного законодавства України.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3.Мета Положення полягає у дотриманні професійних стандартів в усіх сферах діяльності закладу (освітній, науковій, виховній тощо), підтримки особливих взаємовідносин між педагогічними працівниками, запобігання порушення академічної доброчесності.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4.Педагогічні працівники та батьки здобувачів освіти зобов’язані дотримуватися загальновизнаних норм етики, моралі, поважати гідність осіб, які працюють та навчаються в закладі, сприяти підвищенню морально-психологічного клімату в колективі, спрямовувати свої дії на зміцнення авторитету.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5.Заклад дошкільної освіти в своїй діяльності керується принципом незалежності здобуття освіти від впливу політичних партій, громадських і релігійних організацій.</w:t>
      </w:r>
    </w:p>
    <w:p w:rsidR="000C7384" w:rsidRPr="002772FB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ІІ . ПОНЯТТЯ ТА ПРИНЦИПИ АКАДЕМІЧНОЇ ДОБРОЧЕСНОСТІ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1.Академічна доброчесність – це сукупність етичних принципів та визначених законом правил 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попередження порушень освітнього процесу.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2.Порушеннями академічної доброчесності згідно ст.42 п. 4 Закону України «Про освіту» вважається: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академічний плагіат, самоплагіат, фабрикація, фальсифікація, списування, обман, хабарництво, необ’єктивне оцінювання.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3.Дотримання академічної доброчесності та етики забезпечуються 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 w:rsidRPr="002772F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Учасниками освітнього процесу шляхом: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-утвердження позитивного іміджу закладу освіти, примноження його традицій;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-дотримання етичних норм спілкування на засадах партнерства, взаємоповаги, толерантності стосунків;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-запобігання корупції, хабарництву;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-збереження, поліпшення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та раціонального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використання навчально-матеріальної бази закладу;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-дотримання спеціальних Законів за порушення академічної доброчесності та даного Положення, зокрема, посилання на джерела інформації у разі використання ідей, тверджень, відомостей;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-дотримання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норм про авторські права;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 -надання правдивої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інформації про результати власної навчальної (наукової, творчої) діяльності;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-невідворотності відповідальності з підстав та в порядку,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визначених відповідно Законом України «Про освіту» та іншими спеціальними законами.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lastRenderedPageBreak/>
        <w:t xml:space="preserve">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-поваги до осіб, які здобувають освіту, їхніх батьків та осіб, які їх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замінюють, незалежно від віку, статі, стану здоров’я, громадянства,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національності, ставлення до релігії, кольору шкіри, місця проживання, мови спілкування, походження, соціального і майнового стану, наявності судимості, а також інших обставин;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-не розголошування конфеденційної інформації, відповідно до вимог законодавства в сфері інформації та звернення громадян;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-надання достовірної інформації;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-уникання приватного інтересу та конфлікту інтересів;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-відповідальності за порушення академічної доброчесності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 w:rsidRPr="00505C4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Здобувачами освіти шляхом: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-самостійного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виконання освітніх  завдань поточного та підсумкового контролю без використання зовнішніх джерел інформації, крім дозволених для використання, зокрема під час оцінювання результатів навчання (самостійні, контрольні, ДПА);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-особистою присутністю на всіх заняттях, окрім випадків, викликаних поважними причинами.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 w:rsidRPr="00505C4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Педагогічними працівниками шляхом 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-ефективного виконання педагогами своїх посадових обов’язків; підвищення кваліфікації;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-якісного, вчасного та результативного виконання своїх функціональних обов’язків;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-впровадження в своїй діяльності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інноваційних методів навчання;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-посилання на джерела інформації у разі використання ідей, розробок, тверджень, відомостей;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-дотримання норм законодавства про авторське право і суміжні права;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-надання достовірної інформації про методики і результати досліджень;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-спирання на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джерела використаної інформації та власну педагогічну (науково-педагогічну, творчу) діяльність;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-об’єктивного та неупередженого оцінювання знань та вмінь здобувачів освіти;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-надання якісних освітніх послуг з використанням в практичній професійній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діяльності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інноваційних здобутків в галузі освіти;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-обов’язкової присутності, активної участі на засіданнях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педагогічної ради та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колегіальної відповідальності за прийняті управлінські рішення;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-незалежності професійної діяльності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від політичних партій, громадських і релігійних організацій;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-підвищення професійного рівня шляхом саморозвитку і самовдосконалення, проходження вчасно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курсової підготовки;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-дотримання правил внутрішнього розпорядку, трудової дисципліни, корпоративної етики;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-здійснення контролю за дотриманням академічної доброчесності здобувачами освіти;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-інформування здобувачів освіти про типові порушення академічної доброчесності та види відповідальності за її порушення.</w:t>
      </w:r>
    </w:p>
    <w:p w:rsidR="000C7384" w:rsidRPr="009F4396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ІІІ. ЗАХОДИ </w:t>
      </w:r>
      <w:proofErr w:type="gramStart"/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</w:t>
      </w:r>
      <w:proofErr w:type="gramEnd"/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ПОПЕРЕДЖЕННЯ, ВИЯВЛЕННЯ ТА ВСТАНОВЛЕННЯ  ФАКТІВ  ПОРУШЕННЯ ЕТИКИ ТА АКАДЕМІЧНОЇ ДОБРОЧЕСНОСТІ</w:t>
      </w:r>
    </w:p>
    <w:p w:rsidR="000C7384" w:rsidRPr="00505C49" w:rsidRDefault="000C7384" w:rsidP="000C738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1.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прийомі на роботу працівник знайомиться із даним Положенням під розписку після ознайомлення із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равилами внутрішнього розпорядку закладу.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2.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Положення доводиться до батьківської громади на конференції, а також оприлюднюється на сайті закладу.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3.Вихователь - методист: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 3.1.Забезпечує попередження порушень академічної доброчесності шляхом практикумів, консультацій та інших колективних та індивідуальних форм навчання з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lastRenderedPageBreak/>
        <w:t>педагогічними працівниками щодо створення, оформлення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ними методичних розробок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(робіт) для публікацій, написання контрольних робіт для курсів підвищення кваліфікації педагогічних працівників та на конкурси різного рівня.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3.2.Використовує у своїй діяльності (рецензування робіт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на конкурси різного рівня,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на присвоєння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педагогічного звання) та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рекомендує педагогам сервіси безкоштовної перевірки робіт на антиплагіат.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3.3.Педагогічні працівники, в процесі своєї освітньої діяльності, дотримуються етики та академічної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доброчесності, умов даного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Положення, проводять роз’яснювальну роботу із здобувачами освіти щодо норм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етичної поведінки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та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неприпустимості порушення академічної доброчесності (плагіат, порушення правил оформлення цитування, посилання на джерела інформації,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списування).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ВИДИ  ВІДПОВІДАЛЬНОСТІ  ЗА ПОРУШЕННЯ АКАДЕМІЧНОЇ ДОБРОЧЕСНОСТІ</w:t>
      </w:r>
    </w:p>
    <w:p w:rsidR="000C7384" w:rsidRPr="00505C49" w:rsidRDefault="000C7384" w:rsidP="000C7384">
      <w:pPr>
        <w:shd w:val="clear" w:color="auto" w:fill="FFFFFF" w:themeFill="background1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1.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Види академічної відповідальності за конкретне порушення академічної доброчинності визначають спеціальні закони та внутрішнє Положення закладу освіти.</w:t>
      </w:r>
    </w:p>
    <w:tbl>
      <w:tblPr>
        <w:tblW w:w="1063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4F5F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268"/>
        <w:gridCol w:w="3827"/>
        <w:gridCol w:w="1843"/>
      </w:tblGrid>
      <w:tr w:rsidR="000C7384" w:rsidRPr="00505C49" w:rsidTr="00455AC3">
        <w:trPr>
          <w:trHeight w:val="12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Порушення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академічної доброчесності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Суб’єктипорушення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Обставини та умови  порушення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академічної доброчесності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Наслідки  і форма відповідальності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 xml:space="preserve">Орган /посадова особа, який приймає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р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ішення про призначення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505C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виду відповідальності</w:t>
            </w:r>
          </w:p>
        </w:tc>
      </w:tr>
      <w:tr w:rsidR="000C7384" w:rsidRPr="00505C49" w:rsidTr="00455AC3">
        <w:trPr>
          <w:trHeight w:val="12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Необ’єктивне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  <w:t>О</w:t>
            </w: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цінювання результатів навчання здобувачів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Педагогічні працівники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ідоме завищення або заниження оцінки результатів навчання-усні відповіді;-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моніторинг рівня знань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Педагогічному працівнику рекомендується опрацювати критерії оцінювання знань. Факти  систематичних порушень враховуються  при встановленні кваліфікаційної категорії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присвоєнні педагогічних  звань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іністрація закладу, атестаційні 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комісії усіх рівнів</w:t>
            </w:r>
          </w:p>
        </w:tc>
      </w:tr>
      <w:tr w:rsidR="000C7384" w:rsidRPr="00505C49" w:rsidTr="00455AC3">
        <w:trPr>
          <w:trHeight w:val="88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Обман: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Фальсифікація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5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Педагогічні працівникияк автори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Навчально-методичні освітні п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латформи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створені педагогічними працівниками: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-методичні рекомендації;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-навчальний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ібник;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-навчально-методичний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ібник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-наочний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ібник;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-практичний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ібник;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-навчальний наочний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ібник;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-збірка;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-методична збірка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-методичний 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вісник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-стаття;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-методична розробка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 випадку встановлення порушень такого порядку: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а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 спотворене представлення у методичних розробках, публікаціях чужих розробок, ідей, синтезу або компіляції чужих джерел, використання Інтернету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видання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 посилань, фальсифікація наукових досліджень, неправдива інформація про власну освітню діяльність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uk-UA"/>
              </w:rPr>
              <w:t xml:space="preserve">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є підставою для відмови в присвоєнні або позбавлені раніше присвоєного педагогічного звання, кваліфікаційної категорії</w:t>
            </w:r>
          </w:p>
          <w:p w:rsidR="000C7384" w:rsidRPr="003F1B7A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б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 в разі встановлення в атестаційний період  фактів списування здобувачами під час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моніторингу рівня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знань, фальсифікації результатів власної педагогічної діяльності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uk-UA"/>
              </w:rPr>
              <w:t xml:space="preserve"> </w:t>
            </w: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позбавлення педагогічного працівника І,ІІ кваліфікаційної категорії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Педагогічна та методичні  радизакладу, атестаційні комі</w:t>
            </w:r>
            <w:proofErr w:type="gramStart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ії (закладу освіти, міська)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3F1B7A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uk-UA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7384" w:rsidRPr="00505C49" w:rsidTr="00455AC3">
        <w:trPr>
          <w:trHeight w:val="19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Фабрикація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0C7384" w:rsidRPr="00505C49" w:rsidTr="00455AC3">
        <w:trPr>
          <w:trHeight w:val="219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05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Плагіат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C7384" w:rsidRPr="00505C49" w:rsidRDefault="000C7384" w:rsidP="00455A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0C7384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0C7384" w:rsidRPr="009F4396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.</w:t>
      </w:r>
      <w:r w:rsidRPr="009F43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КОМІСІЯ З ПИТАНЬ АКАДЕМІЧНОЇ ДОБРОЧЕСНОСТІ ТА ЕТИКИ ПЕДАГОГІЧНИХ ПРАЦІВНИКІВ</w:t>
      </w:r>
    </w:p>
    <w:p w:rsidR="000C7384" w:rsidRPr="00505C49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1.Комісія з питань академічної доброчесності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та етики педагогічних працівників – незалежний орган для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розгляду питань, пов’язаних із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порушенням Положення та моніторингу щодо взаємного дотримання усіма учасниками освітнього процесу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морально-етичних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норм поведінки та правових норм цього Положення.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2.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До складу Комісії входять представники педагогічного колективу та батьківської громади.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3.Персональний склад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Комісії затверджується рішенням педагогічної ради. (Термін повноважень Комісії - 3 роки).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4.Комісія розглядає питання порушення морально-етичних норм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поведінки та правових норм цього Положення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 потребою або ж заявою учасників освітнього процесу.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5.Комісія звітує про свою роботу двічі на рік.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6.Засідання Комісії оформлюється протоколом, який підписує голова та секретар.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  <w:t xml:space="preserve">       7.Коміс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ія раз на рік звітує про свою роботу перед педагогічною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адою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8.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Працівник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закладу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може звернутися до Комісії із заявою про порушення норм цього Положення, внесення пропозицій або доповнень.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9.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Будь-який учасник освітнього процесу, якому стали відомі факти порушення норм цього Положення чи підготовки про можливість такого порушення, повинен звернутися до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г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олови або секретаря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омісії з письмовою заявою на ім’я її голови. У заяві обов’язково зазначаються особисті дані заявника (П.І.Б., контактні дані: адреса, телефон, місце роботи, посада,  особистий </w:t>
      </w:r>
      <w:proofErr w:type="gramStart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ідпис). Анонімні заяви чи заяви, викладені в некоректній формі,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омісією не розглядаються.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10.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засідання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омісії запрошуються заявник та особа, відносно якої розглядається питання щодо порушення Кодексу академічної доброчесності.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11.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результатами проведених засідань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омісія готує вмотивовані </w:t>
      </w:r>
      <w:proofErr w:type="gramStart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ішення у вигляді висновків щодо порушення чи не порушення норм цього Положення. Зазначені висновки носять рекомендаційний характер, подаються директору для подальшого вживання відповідних заходів морального, дисциплінарного чи </w:t>
      </w:r>
      <w:proofErr w:type="gramStart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адм</w:t>
      </w:r>
      <w:proofErr w:type="gramEnd"/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</w:rPr>
        <w:t>іністративного характеру.</w:t>
      </w:r>
    </w:p>
    <w:p w:rsidR="000C7384" w:rsidRPr="009F4396" w:rsidRDefault="000C7384" w:rsidP="000C73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</w:pPr>
      <w:r w:rsidRPr="00505C4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505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</w:t>
      </w:r>
      <w:r w:rsidRPr="009F43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. ПРИКІНЦЕВІ ПОЛОЖЕННЯ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  <w:br/>
        <w:t xml:space="preserve">      </w:t>
      </w:r>
      <w:r w:rsidRPr="00505C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1.</w:t>
      </w:r>
      <w:r w:rsidRPr="009F439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Положення ухвалюється педагогічною радою закладу більшістю голосів і набирає чинності з моменту схвалення.</w:t>
      </w:r>
    </w:p>
    <w:p w:rsidR="000C7384" w:rsidRPr="009F4396" w:rsidRDefault="000C7384" w:rsidP="000C7384">
      <w:pPr>
        <w:shd w:val="clear" w:color="auto" w:fill="FFFFFF" w:themeFill="background1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uk-UA"/>
        </w:rPr>
      </w:pPr>
      <w:r w:rsidRPr="00EB403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0C7384" w:rsidRPr="009F4396" w:rsidRDefault="000C7384" w:rsidP="000C7384">
      <w:pPr>
        <w:shd w:val="clear" w:color="auto" w:fill="FFFFFF" w:themeFill="background1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uk-UA"/>
        </w:rPr>
      </w:pPr>
      <w:r w:rsidRPr="00EB403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0C7384" w:rsidRPr="009F4396" w:rsidRDefault="000C7384" w:rsidP="000C7384">
      <w:pPr>
        <w:shd w:val="clear" w:color="auto" w:fill="FFFFFF" w:themeFill="background1"/>
        <w:rPr>
          <w:lang w:val="uk-UA"/>
        </w:rPr>
      </w:pPr>
    </w:p>
    <w:p w:rsidR="00600DEC" w:rsidRPr="000C7384" w:rsidRDefault="00600DEC">
      <w:pPr>
        <w:rPr>
          <w:lang w:val="uk-UA"/>
        </w:rPr>
      </w:pPr>
      <w:bookmarkStart w:id="0" w:name="_GoBack"/>
      <w:bookmarkEnd w:id="0"/>
    </w:p>
    <w:sectPr w:rsidR="00600DEC" w:rsidRPr="000C7384" w:rsidSect="00F6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56"/>
    <w:rsid w:val="000C7384"/>
    <w:rsid w:val="002C6B0E"/>
    <w:rsid w:val="00600DEC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8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8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7410</Words>
  <Characters>4225</Characters>
  <Application>Microsoft Office Word</Application>
  <DocSecurity>0</DocSecurity>
  <Lines>35</Lines>
  <Paragraphs>23</Paragraphs>
  <ScaleCrop>false</ScaleCrop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2</cp:revision>
  <dcterms:created xsi:type="dcterms:W3CDTF">2021-12-29T14:26:00Z</dcterms:created>
  <dcterms:modified xsi:type="dcterms:W3CDTF">2021-12-29T14:27:00Z</dcterms:modified>
</cp:coreProperties>
</file>